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36" w:rsidRPr="00465536" w:rsidRDefault="00465536" w:rsidP="00465536">
      <w:pPr>
        <w:spacing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465536">
        <w:rPr>
          <w:rFonts w:ascii="Times New Roman" w:eastAsia="Times New Roman" w:hAnsi="Times New Roman" w:cs="Times New Roman"/>
          <w:b/>
          <w:bCs/>
          <w:color w:val="000000"/>
          <w:sz w:val="24"/>
          <w:szCs w:val="24"/>
        </w:rPr>
        <w:t xml:space="preserve">PRINCIPIO CONTABILE INTERNAZIONALE N. 7 (RIVISTO NELLA SOSTANZA NEL 1992) </w:t>
      </w:r>
      <w:r w:rsidRPr="00465536">
        <w:rPr>
          <w:rFonts w:ascii="Times New Roman" w:eastAsia="Times New Roman" w:hAnsi="Times New Roman" w:cs="Times New Roman"/>
          <w:sz w:val="24"/>
          <w:szCs w:val="24"/>
        </w:rPr>
        <w:br/>
      </w:r>
      <w:r w:rsidRPr="00465536">
        <w:rPr>
          <w:rFonts w:ascii="Times New Roman" w:eastAsia="Times New Roman" w:hAnsi="Times New Roman" w:cs="Times New Roman"/>
          <w:sz w:val="24"/>
          <w:szCs w:val="24"/>
        </w:rPr>
        <w:br/>
      </w:r>
      <w:r w:rsidRPr="00465536">
        <w:rPr>
          <w:rFonts w:ascii="Times New Roman" w:eastAsia="Times New Roman" w:hAnsi="Times New Roman" w:cs="Times New Roman"/>
          <w:b/>
          <w:bCs/>
          <w:color w:val="000000"/>
          <w:sz w:val="24"/>
          <w:szCs w:val="24"/>
        </w:rPr>
        <w:t xml:space="preserve">Rendiconto finanziario </w:t>
      </w:r>
    </w:p>
    <w:p w:rsidR="00465536" w:rsidRPr="00465536" w:rsidRDefault="00465536" w:rsidP="00465536">
      <w:pPr>
        <w:spacing w:before="120" w:after="120" w:line="360" w:lineRule="auto"/>
        <w:ind w:right="-1"/>
        <w:jc w:val="both"/>
        <w:rPr>
          <w:rFonts w:ascii="Times New Roman" w:eastAsia="Times New Roman" w:hAnsi="Times New Roman" w:cs="Times New Roman"/>
          <w:sz w:val="24"/>
          <w:szCs w:val="24"/>
        </w:rPr>
      </w:pPr>
      <w:r w:rsidRPr="00465536">
        <w:rPr>
          <w:rFonts w:ascii="Arial" w:eastAsia="Times New Roman" w:hAnsi="Arial" w:cs="Arial"/>
          <w:i/>
          <w:iCs/>
          <w:sz w:val="24"/>
          <w:szCs w:val="24"/>
        </w:rPr>
        <w:t>Tale Principio è conforme al Regolamento n. 1725/2003, modificato con Regolamenti n. 2238/2004, 1274/2008, 70/2009, 494/2009, 243/2010 e quindi alle disposizioni al 31 dicembre 2010.</w:t>
      </w:r>
    </w:p>
    <w:tbl>
      <w:tblPr>
        <w:tblW w:w="7695" w:type="dxa"/>
        <w:jc w:val="center"/>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6181"/>
        <w:gridCol w:w="1514"/>
      </w:tblGrid>
      <w:tr w:rsidR="00465536" w:rsidRPr="00465536" w:rsidTr="00465536">
        <w:trPr>
          <w:trHeight w:val="315"/>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465536" w:rsidP="00465536">
            <w:pPr>
              <w:spacing w:before="100" w:beforeAutospacing="1" w:after="100" w:afterAutospacing="1" w:line="240" w:lineRule="auto"/>
              <w:ind w:left="150"/>
              <w:jc w:val="both"/>
              <w:rPr>
                <w:rFonts w:ascii="Times New Roman" w:eastAsia="Times New Roman" w:hAnsi="Times New Roman" w:cs="Times New Roman"/>
                <w:sz w:val="24"/>
                <w:szCs w:val="24"/>
              </w:rPr>
            </w:pPr>
            <w:r w:rsidRPr="00465536">
              <w:rPr>
                <w:rFonts w:ascii="Times New Roman" w:eastAsia="Times New Roman" w:hAnsi="Times New Roman" w:cs="Times New Roman"/>
                <w:sz w:val="24"/>
                <w:szCs w:val="24"/>
              </w:rPr>
              <w:t xml:space="preserve">  </w:t>
            </w:r>
            <w:bookmarkStart w:id="1" w:name="SOMMARIO__"/>
            <w:r w:rsidRPr="00465536">
              <w:rPr>
                <w:rFonts w:ascii="Times New Roman" w:eastAsia="Times New Roman" w:hAnsi="Times New Roman" w:cs="Times New Roman"/>
                <w:color w:val="000000"/>
                <w:sz w:val="24"/>
                <w:szCs w:val="24"/>
              </w:rPr>
              <w:t xml:space="preserve">SOMMARIO </w:t>
            </w:r>
            <w:bookmarkEnd w:id="1"/>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Paragrafi</w:t>
            </w:r>
          </w:p>
        </w:tc>
      </w:tr>
      <w:tr w:rsidR="00465536" w:rsidRPr="00465536" w:rsidTr="00465536">
        <w:trPr>
          <w:trHeight w:val="315"/>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5" w:anchor="FINALIT%C3%80__" w:history="1">
              <w:r w:rsidR="00465536" w:rsidRPr="00465536">
                <w:rPr>
                  <w:rFonts w:ascii="Times New Roman" w:eastAsia="Times New Roman" w:hAnsi="Times New Roman" w:cs="Times New Roman"/>
                  <w:color w:val="0000FF"/>
                  <w:sz w:val="24"/>
                  <w:szCs w:val="24"/>
                  <w:u w:val="single"/>
                </w:rPr>
                <w:t>Finalità</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after="0" w:line="240" w:lineRule="auto"/>
              <w:jc w:val="both"/>
              <w:rPr>
                <w:rFonts w:ascii="Times New Roman" w:eastAsia="Times New Roman" w:hAnsi="Times New Roman" w:cs="Times New Roman"/>
                <w:sz w:val="24"/>
                <w:szCs w:val="24"/>
              </w:rPr>
            </w:pP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6" w:anchor="AMBITO_DI_APPLICAZIONE__" w:history="1">
              <w:r w:rsidR="00465536" w:rsidRPr="00465536">
                <w:rPr>
                  <w:rFonts w:ascii="Times New Roman" w:eastAsia="Times New Roman" w:hAnsi="Times New Roman" w:cs="Times New Roman"/>
                  <w:color w:val="0000FF"/>
                  <w:sz w:val="24"/>
                  <w:szCs w:val="24"/>
                  <w:u w:val="single"/>
                </w:rPr>
                <w:t>Ambito di applicazione</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1-3</w:t>
            </w:r>
          </w:p>
        </w:tc>
      </w:tr>
      <w:tr w:rsidR="00465536" w:rsidRPr="00465536" w:rsidTr="00465536">
        <w:trPr>
          <w:trHeight w:val="21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10" w:lineRule="atLeast"/>
              <w:ind w:left="150"/>
              <w:jc w:val="both"/>
              <w:rPr>
                <w:rFonts w:ascii="Times New Roman" w:eastAsia="Times New Roman" w:hAnsi="Times New Roman" w:cs="Times New Roman"/>
                <w:sz w:val="24"/>
                <w:szCs w:val="24"/>
              </w:rPr>
            </w:pPr>
            <w:hyperlink r:id="rId7" w:anchor="BENEFICI_APPORTATI_DALLE_INFORMAZIONI_SUI_FLUSSI_FINANZIARI__" w:history="1">
              <w:r w:rsidR="00465536" w:rsidRPr="00465536">
                <w:rPr>
                  <w:rFonts w:ascii="Times New Roman" w:eastAsia="Times New Roman" w:hAnsi="Times New Roman" w:cs="Times New Roman"/>
                  <w:color w:val="0000FF"/>
                  <w:sz w:val="24"/>
                  <w:szCs w:val="24"/>
                  <w:u w:val="single"/>
                </w:rPr>
                <w:t>Benefici apportati dalle informazioni sui flussi finanziari</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10" w:lineRule="atLeast"/>
              <w:jc w:val="both"/>
              <w:rPr>
                <w:rFonts w:ascii="Arial" w:eastAsia="Times New Roman" w:hAnsi="Arial" w:cs="Arial"/>
                <w:sz w:val="24"/>
                <w:szCs w:val="24"/>
              </w:rPr>
            </w:pPr>
            <w:r w:rsidRPr="00465536">
              <w:rPr>
                <w:rFonts w:ascii="Arial" w:eastAsia="Times New Roman" w:hAnsi="Arial" w:cs="Arial"/>
                <w:sz w:val="24"/>
                <w:szCs w:val="24"/>
              </w:rPr>
              <w:t>4-5</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8" w:anchor="DEFINIZIONI__" w:history="1">
              <w:r w:rsidR="00465536" w:rsidRPr="00465536">
                <w:rPr>
                  <w:rFonts w:ascii="Times New Roman" w:eastAsia="Times New Roman" w:hAnsi="Times New Roman" w:cs="Times New Roman"/>
                  <w:color w:val="0000FF"/>
                  <w:sz w:val="24"/>
                  <w:szCs w:val="24"/>
                  <w:u w:val="single"/>
                </w:rPr>
                <w:t>Definizioni</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6-9</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9" w:anchor="Disponibilit%C3%A0_liquide_e_mezzi_equivalenti__" w:history="1">
              <w:r w:rsidR="00465536" w:rsidRPr="00465536">
                <w:rPr>
                  <w:rFonts w:ascii="Times New Roman" w:eastAsia="Times New Roman" w:hAnsi="Times New Roman" w:cs="Times New Roman"/>
                  <w:color w:val="0000FF"/>
                  <w:sz w:val="24"/>
                  <w:szCs w:val="24"/>
                  <w:u w:val="single"/>
                </w:rPr>
                <w:t>Disponibilità liquide e mezzi equivalenti</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7-9</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10" w:anchor="PRESENTAZIONE_DEL_RENDICONTO_FINANZIARIO__" w:history="1">
              <w:r w:rsidR="00465536" w:rsidRPr="00465536">
                <w:rPr>
                  <w:rFonts w:ascii="Times New Roman" w:eastAsia="Times New Roman" w:hAnsi="Times New Roman" w:cs="Times New Roman"/>
                  <w:color w:val="0000FF"/>
                  <w:sz w:val="24"/>
                  <w:szCs w:val="24"/>
                  <w:u w:val="single"/>
                </w:rPr>
                <w:t>Presentazione del rendiconto finanziario</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10-17</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11" w:anchor="Attivit%C3%A0_operativa__" w:history="1">
              <w:r w:rsidR="00465536" w:rsidRPr="00465536">
                <w:rPr>
                  <w:rFonts w:ascii="Times New Roman" w:eastAsia="Times New Roman" w:hAnsi="Times New Roman" w:cs="Times New Roman"/>
                  <w:color w:val="0000FF"/>
                  <w:sz w:val="24"/>
                  <w:szCs w:val="24"/>
                  <w:u w:val="single"/>
                </w:rPr>
                <w:t>Attività operativa</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13-15</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12" w:anchor="Attivit%C3%A0_di_investimento__" w:history="1">
              <w:r w:rsidR="00465536" w:rsidRPr="00465536">
                <w:rPr>
                  <w:rFonts w:ascii="Times New Roman" w:eastAsia="Times New Roman" w:hAnsi="Times New Roman" w:cs="Times New Roman"/>
                  <w:color w:val="0000FF"/>
                  <w:sz w:val="24"/>
                  <w:szCs w:val="24"/>
                  <w:u w:val="single"/>
                </w:rPr>
                <w:t>Attività di investimento</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16</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13" w:anchor="Attivit%C3%A0_finanziaria__" w:history="1">
              <w:r w:rsidR="00465536" w:rsidRPr="00465536">
                <w:rPr>
                  <w:rFonts w:ascii="Times New Roman" w:eastAsia="Times New Roman" w:hAnsi="Times New Roman" w:cs="Times New Roman"/>
                  <w:color w:val="0000FF"/>
                  <w:sz w:val="24"/>
                  <w:szCs w:val="24"/>
                  <w:u w:val="single"/>
                </w:rPr>
                <w:t>Attività finanziaria</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17</w:t>
            </w:r>
          </w:p>
        </w:tc>
      </w:tr>
      <w:tr w:rsidR="00465536" w:rsidRPr="00465536" w:rsidTr="00465536">
        <w:trPr>
          <w:trHeight w:val="18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180" w:lineRule="atLeast"/>
              <w:ind w:left="150"/>
              <w:jc w:val="both"/>
              <w:rPr>
                <w:rFonts w:ascii="Times New Roman" w:eastAsia="Times New Roman" w:hAnsi="Times New Roman" w:cs="Times New Roman"/>
                <w:sz w:val="24"/>
                <w:szCs w:val="24"/>
              </w:rPr>
            </w:pPr>
            <w:hyperlink r:id="rId14" w:anchor="PRESENTAZIONE_DEI_FLUSSI_FINANZIARI_DELL%E2%80%99ATTIVIT%C3%80_OPERATIVA__" w:history="1">
              <w:r w:rsidR="00465536" w:rsidRPr="00465536">
                <w:rPr>
                  <w:rFonts w:ascii="Times New Roman" w:eastAsia="Times New Roman" w:hAnsi="Times New Roman" w:cs="Times New Roman"/>
                  <w:color w:val="0000FF"/>
                  <w:sz w:val="24"/>
                  <w:szCs w:val="24"/>
                  <w:u w:val="single"/>
                </w:rPr>
                <w:t>Presentazione dei flussi finanziari dell’attività operativa</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180" w:lineRule="atLeast"/>
              <w:jc w:val="both"/>
              <w:rPr>
                <w:rFonts w:ascii="Arial" w:eastAsia="Times New Roman" w:hAnsi="Arial" w:cs="Arial"/>
                <w:sz w:val="24"/>
                <w:szCs w:val="24"/>
              </w:rPr>
            </w:pPr>
            <w:r w:rsidRPr="00465536">
              <w:rPr>
                <w:rFonts w:ascii="Arial" w:eastAsia="Times New Roman" w:hAnsi="Arial" w:cs="Arial"/>
                <w:sz w:val="24"/>
                <w:szCs w:val="24"/>
              </w:rPr>
              <w:t>18-20</w:t>
            </w:r>
          </w:p>
        </w:tc>
      </w:tr>
      <w:tr w:rsidR="00465536" w:rsidRPr="00465536" w:rsidTr="00465536">
        <w:trPr>
          <w:trHeight w:val="33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15" w:anchor="PRESENTAZIONE_DEI_FLUSSI_FINANZIARI_DELL%E2%80%99ATTIVIT%C3%80_DI_INVESTIMENTO_E_FINANZIARIA__" w:history="1">
              <w:r w:rsidR="00465536" w:rsidRPr="00465536">
                <w:rPr>
                  <w:rFonts w:ascii="Times New Roman" w:eastAsia="Times New Roman" w:hAnsi="Times New Roman" w:cs="Times New Roman"/>
                  <w:color w:val="0000FF"/>
                  <w:sz w:val="24"/>
                  <w:szCs w:val="24"/>
                  <w:u w:val="single"/>
                </w:rPr>
                <w:t>Presentazione dei flussi finanziari dell’attività di investimento e finanziaria</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21</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16" w:anchor="PRESENTAZIONE_DEI_FLUSSI_FINANZIARI_AL_NETTO__" w:history="1">
              <w:r w:rsidR="00465536" w:rsidRPr="00465536">
                <w:rPr>
                  <w:rFonts w:ascii="Times New Roman" w:eastAsia="Times New Roman" w:hAnsi="Times New Roman" w:cs="Times New Roman"/>
                  <w:color w:val="0000FF"/>
                  <w:sz w:val="24"/>
                  <w:szCs w:val="24"/>
                  <w:u w:val="single"/>
                </w:rPr>
                <w:t>Presentazione dei flussi finanziari al netto</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22-24</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17" w:anchor="FLUSSI_FINANZIARI_IN_VALUTA_ESTERA__" w:history="1">
              <w:r w:rsidR="00465536" w:rsidRPr="00465536">
                <w:rPr>
                  <w:rFonts w:ascii="Times New Roman" w:eastAsia="Times New Roman" w:hAnsi="Times New Roman" w:cs="Times New Roman"/>
                  <w:color w:val="0000FF"/>
                  <w:sz w:val="24"/>
                  <w:szCs w:val="24"/>
                  <w:u w:val="single"/>
                </w:rPr>
                <w:t>Flussi finanziari in valuta estera</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25-28</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18" w:anchor="COMPONENTI_STRAORDINARI__" w:history="1">
              <w:r w:rsidR="00465536" w:rsidRPr="00465536">
                <w:rPr>
                  <w:rFonts w:ascii="Times New Roman" w:eastAsia="Times New Roman" w:hAnsi="Times New Roman" w:cs="Times New Roman"/>
                  <w:color w:val="0000FF"/>
                  <w:sz w:val="24"/>
                  <w:szCs w:val="24"/>
                  <w:u w:val="single"/>
                </w:rPr>
                <w:t>Componenti straordinari</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29-30</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19" w:anchor="INTERESSI_E_DIVIDENDI__" w:history="1">
              <w:r w:rsidR="00465536" w:rsidRPr="00465536">
                <w:rPr>
                  <w:rFonts w:ascii="Times New Roman" w:eastAsia="Times New Roman" w:hAnsi="Times New Roman" w:cs="Times New Roman"/>
                  <w:color w:val="0000FF"/>
                  <w:sz w:val="24"/>
                  <w:szCs w:val="24"/>
                  <w:u w:val="single"/>
                </w:rPr>
                <w:t>Interessi e dividendi</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31-34</w:t>
            </w:r>
          </w:p>
        </w:tc>
      </w:tr>
      <w:tr w:rsidR="00465536" w:rsidRPr="00465536" w:rsidTr="00465536">
        <w:trPr>
          <w:trHeight w:val="30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20" w:anchor="IMPOSTE_SUL_REDDITO__" w:history="1">
              <w:r w:rsidR="00465536" w:rsidRPr="00465536">
                <w:rPr>
                  <w:rFonts w:ascii="Times New Roman" w:eastAsia="Times New Roman" w:hAnsi="Times New Roman" w:cs="Times New Roman"/>
                  <w:color w:val="0000FF"/>
                  <w:sz w:val="24"/>
                  <w:szCs w:val="24"/>
                  <w:u w:val="single"/>
                </w:rPr>
                <w:t xml:space="preserve">Imposte sul reddito </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35-36</w:t>
            </w:r>
          </w:p>
        </w:tc>
      </w:tr>
      <w:tr w:rsidR="00465536" w:rsidRPr="00465536" w:rsidTr="00465536">
        <w:trPr>
          <w:trHeight w:val="375"/>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21" w:anchor="PARTECIPAZIONI_IN_SOCIET%C3%80_CONTROLLATE,_COLLEGATE_E_JOINT_VENTURE__" w:history="1">
              <w:r w:rsidR="00465536" w:rsidRPr="00465536">
                <w:rPr>
                  <w:rFonts w:ascii="Times New Roman" w:eastAsia="Times New Roman" w:hAnsi="Times New Roman" w:cs="Times New Roman"/>
                  <w:color w:val="0000FF"/>
                  <w:sz w:val="24"/>
                  <w:szCs w:val="24"/>
                  <w:u w:val="single"/>
                </w:rPr>
                <w:t>Partecipazioni in società controllate, collegate e joint venture</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37-38</w:t>
            </w:r>
          </w:p>
        </w:tc>
      </w:tr>
      <w:tr w:rsidR="00465536" w:rsidRPr="00465536" w:rsidTr="00465536">
        <w:trPr>
          <w:trHeight w:val="375"/>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22" w:anchor="ACQUISIZIONI_E_DISMISSIONI_DI_CONTROLLATE_E_DI_RAMI_D%E2%80%99AZIENDA__" w:history="1">
              <w:r w:rsidR="00465536" w:rsidRPr="00465536">
                <w:rPr>
                  <w:rFonts w:ascii="Times New Roman" w:eastAsia="Times New Roman" w:hAnsi="Times New Roman" w:cs="Times New Roman"/>
                  <w:color w:val="0000FF"/>
                  <w:sz w:val="24"/>
                  <w:szCs w:val="24"/>
                  <w:u w:val="single"/>
                </w:rPr>
                <w:t>Acquisizioni e dismissioni di controllate di altre divisioni aziendali</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39-42</w:t>
            </w:r>
          </w:p>
        </w:tc>
      </w:tr>
      <w:tr w:rsidR="00465536" w:rsidRPr="00465536" w:rsidTr="00465536">
        <w:trPr>
          <w:trHeight w:val="375"/>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23" w:anchor="OPERAZIONI_NON_MONETARIE__" w:history="1">
              <w:r w:rsidR="00465536" w:rsidRPr="00465536">
                <w:rPr>
                  <w:rFonts w:ascii="Times New Roman" w:eastAsia="Times New Roman" w:hAnsi="Times New Roman" w:cs="Times New Roman"/>
                  <w:color w:val="0000FF"/>
                  <w:sz w:val="24"/>
                  <w:szCs w:val="24"/>
                  <w:u w:val="single"/>
                </w:rPr>
                <w:t>Operazioni non monetarie</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43-44</w:t>
            </w:r>
          </w:p>
        </w:tc>
      </w:tr>
      <w:tr w:rsidR="00465536" w:rsidRPr="00465536" w:rsidTr="00465536">
        <w:trPr>
          <w:trHeight w:val="375"/>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24" w:anchor="COMPONENTI_DELLE_DISPONIBILIT%C3%80_LIQUIDE_E_MEZZI_EQUIVALENTI__" w:history="1">
              <w:r w:rsidR="00465536" w:rsidRPr="00465536">
                <w:rPr>
                  <w:rFonts w:ascii="Times New Roman" w:eastAsia="Times New Roman" w:hAnsi="Times New Roman" w:cs="Times New Roman"/>
                  <w:color w:val="0000FF"/>
                  <w:sz w:val="24"/>
                  <w:szCs w:val="24"/>
                  <w:u w:val="single"/>
                </w:rPr>
                <w:t>Componenti delle disponibilità liquide e mezzi equivalenti</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45-47</w:t>
            </w:r>
          </w:p>
        </w:tc>
      </w:tr>
      <w:tr w:rsidR="00465536" w:rsidRPr="00465536" w:rsidTr="00465536">
        <w:trPr>
          <w:trHeight w:val="375"/>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25" w:anchor="ALTRE_INFORMAZIONI_INTEGRATIVE__" w:history="1">
              <w:r w:rsidR="00465536" w:rsidRPr="00465536">
                <w:rPr>
                  <w:rFonts w:ascii="Times New Roman" w:eastAsia="Times New Roman" w:hAnsi="Times New Roman" w:cs="Times New Roman"/>
                  <w:color w:val="0000FF"/>
                  <w:sz w:val="24"/>
                  <w:szCs w:val="24"/>
                  <w:u w:val="single"/>
                </w:rPr>
                <w:t>Altre indicazioni</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48-52</w:t>
            </w:r>
          </w:p>
        </w:tc>
      </w:tr>
      <w:tr w:rsidR="00465536" w:rsidRPr="00465536" w:rsidTr="00465536">
        <w:trPr>
          <w:trHeight w:val="390"/>
          <w:jc w:val="center"/>
        </w:trPr>
        <w:tc>
          <w:tcPr>
            <w:tcW w:w="6181"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hideMark/>
          </w:tcPr>
          <w:p w:rsidR="00465536" w:rsidRPr="00465536" w:rsidRDefault="00796D22" w:rsidP="00465536">
            <w:pPr>
              <w:spacing w:before="100" w:beforeAutospacing="1" w:after="100" w:afterAutospacing="1" w:line="240" w:lineRule="auto"/>
              <w:ind w:left="150"/>
              <w:jc w:val="both"/>
              <w:rPr>
                <w:rFonts w:ascii="Times New Roman" w:eastAsia="Times New Roman" w:hAnsi="Times New Roman" w:cs="Times New Roman"/>
                <w:sz w:val="24"/>
                <w:szCs w:val="24"/>
              </w:rPr>
            </w:pPr>
            <w:hyperlink r:id="rId26" w:anchor="DATA_DI_ENTRATA_IN_VIGORE__" w:history="1">
              <w:r w:rsidR="00465536" w:rsidRPr="00465536">
                <w:rPr>
                  <w:rFonts w:ascii="Times New Roman" w:eastAsia="Times New Roman" w:hAnsi="Times New Roman" w:cs="Times New Roman"/>
                  <w:color w:val="0000FF"/>
                  <w:sz w:val="24"/>
                  <w:szCs w:val="24"/>
                  <w:u w:val="single"/>
                </w:rPr>
                <w:t>Data di entrata in vigore</w:t>
              </w:r>
            </w:hyperlink>
          </w:p>
        </w:tc>
        <w:tc>
          <w:tcPr>
            <w:tcW w:w="1514" w:type="dxa"/>
            <w:tcBorders>
              <w:top w:val="outset" w:sz="6" w:space="0" w:color="CCCCCC"/>
              <w:left w:val="outset" w:sz="6" w:space="0" w:color="CCCCCC"/>
              <w:bottom w:val="outset" w:sz="6" w:space="0" w:color="CCCCCC"/>
              <w:right w:val="outset" w:sz="6" w:space="0" w:color="CCCCCC"/>
            </w:tcBorders>
            <w:tcMar>
              <w:top w:w="15" w:type="dxa"/>
              <w:left w:w="15" w:type="dxa"/>
              <w:bottom w:w="15" w:type="dxa"/>
              <w:right w:w="15" w:type="dxa"/>
            </w:tcMar>
            <w:vAlign w:val="center"/>
            <w:hideMark/>
          </w:tcPr>
          <w:p w:rsidR="00465536" w:rsidRPr="00465536" w:rsidRDefault="00465536" w:rsidP="00465536">
            <w:pPr>
              <w:spacing w:before="100" w:beforeAutospacing="1" w:after="100" w:afterAutospacing="1" w:line="240" w:lineRule="auto"/>
              <w:jc w:val="both"/>
              <w:rPr>
                <w:rFonts w:ascii="Arial" w:eastAsia="Times New Roman" w:hAnsi="Arial" w:cs="Arial"/>
                <w:sz w:val="24"/>
                <w:szCs w:val="24"/>
              </w:rPr>
            </w:pPr>
            <w:r w:rsidRPr="00465536">
              <w:rPr>
                <w:rFonts w:ascii="Arial" w:eastAsia="Times New Roman" w:hAnsi="Arial" w:cs="Arial"/>
                <w:sz w:val="24"/>
                <w:szCs w:val="24"/>
              </w:rPr>
              <w:t>53</w:t>
            </w:r>
          </w:p>
        </w:tc>
      </w:tr>
    </w:tbl>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4"/>
          <w:szCs w:val="24"/>
        </w:rPr>
      </w:pPr>
      <w:r w:rsidRPr="00465536">
        <w:rPr>
          <w:rFonts w:ascii="Times New Roman" w:eastAsia="Times New Roman" w:hAnsi="Times New Roman" w:cs="Times New Roman"/>
          <w:color w:val="000000"/>
          <w:sz w:val="24"/>
          <w:szCs w:val="24"/>
        </w:rPr>
        <w:t xml:space="preserve">Il presente Principio contabile internazionale sostituisce lo IAS 7, </w:t>
      </w:r>
      <w:r w:rsidRPr="00465536">
        <w:rPr>
          <w:rFonts w:ascii="Times New Roman" w:eastAsia="Times New Roman" w:hAnsi="Times New Roman" w:cs="Times New Roman"/>
          <w:i/>
          <w:iCs/>
          <w:color w:val="000000"/>
          <w:sz w:val="24"/>
          <w:szCs w:val="24"/>
        </w:rPr>
        <w:t>Prospetto delle variazioni della situazione finanziaria</w:t>
      </w:r>
      <w:r w:rsidRPr="00465536">
        <w:rPr>
          <w:rFonts w:ascii="Times New Roman" w:eastAsia="Times New Roman" w:hAnsi="Times New Roman" w:cs="Times New Roman"/>
          <w:color w:val="000000"/>
          <w:sz w:val="24"/>
          <w:szCs w:val="24"/>
        </w:rPr>
        <w:t xml:space="preserve">, approvato dal Board nell’ottobre del 1977. Il Principio contabile internazionale così come rivisto entra in vigore a partire dai bilanci degli esercizi con inizio dal 1° gennaio 1994 o da data successiva.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4"/>
          <w:szCs w:val="24"/>
        </w:rPr>
      </w:pPr>
      <w:r w:rsidRPr="00465536">
        <w:rPr>
          <w:rFonts w:ascii="Times New Roman" w:eastAsia="Times New Roman" w:hAnsi="Times New Roman" w:cs="Times New Roman"/>
          <w:color w:val="000000"/>
          <w:sz w:val="24"/>
          <w:szCs w:val="24"/>
        </w:rPr>
        <w:t xml:space="preserve">I principi evidenziati graficamente in grassetto corsivo devono essere letti nel contesto della documentazione e delle indicazioni per l’applicazione contenute nel presente Principio, e nel </w:t>
      </w:r>
      <w:r w:rsidRPr="00465536">
        <w:rPr>
          <w:rFonts w:ascii="Times New Roman" w:eastAsia="Times New Roman" w:hAnsi="Times New Roman" w:cs="Times New Roman"/>
          <w:color w:val="000000"/>
          <w:sz w:val="24"/>
          <w:szCs w:val="24"/>
        </w:rPr>
        <w:lastRenderedPageBreak/>
        <w:t xml:space="preserve">contesto della Prefazione ai Principi contabili internazionali. I Principi contabili internazionali non si applicano a elementi non rilevanti (vedere paragrafo 12 della Prefazione).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4"/>
          <w:szCs w:val="24"/>
        </w:rPr>
      </w:pPr>
      <w:bookmarkStart w:id="2" w:name="FINALITÀ__"/>
      <w:r w:rsidRPr="00465536">
        <w:rPr>
          <w:rFonts w:ascii="Times New Roman" w:eastAsia="Times New Roman" w:hAnsi="Times New Roman" w:cs="Times New Roman"/>
          <w:color w:val="000000"/>
          <w:sz w:val="24"/>
          <w:szCs w:val="24"/>
        </w:rPr>
        <w:t>FINALITÀ</w:t>
      </w:r>
      <w:r w:rsidRPr="00465536">
        <w:rPr>
          <w:rFonts w:ascii="Times New Roman" w:eastAsia="Times New Roman" w:hAnsi="Times New Roman" w:cs="Times New Roman"/>
          <w:sz w:val="24"/>
          <w:szCs w:val="24"/>
        </w:rPr>
        <w:t xml:space="preserve"> </w:t>
      </w:r>
      <w:bookmarkEnd w:id="2"/>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4"/>
          <w:szCs w:val="24"/>
        </w:rPr>
      </w:pPr>
      <w:r w:rsidRPr="00465536">
        <w:rPr>
          <w:rFonts w:ascii="Times New Roman" w:eastAsia="Times New Roman" w:hAnsi="Times New Roman" w:cs="Times New Roman"/>
          <w:color w:val="000000"/>
          <w:sz w:val="24"/>
          <w:szCs w:val="24"/>
        </w:rPr>
        <w:t xml:space="preserve">L’informazione sui flussi finanziari di un’impresa è utile per gli utilizzatori del bilancio per accertare la capacità dell’impresa a produrre disponibilità liquide e mezzi equivalenti e per determinare la necessità del loro impiego. Le decisioni economiche da parte degli utilizzatori del bilancio richiedono una valutazione della capacità di un’impresa a produrre disponibilità liquide o equivalenti e la tempistica e il grado di certezza della loro generazione.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4"/>
          <w:szCs w:val="24"/>
        </w:rPr>
      </w:pPr>
      <w:r w:rsidRPr="00465536">
        <w:rPr>
          <w:rFonts w:ascii="Times New Roman" w:eastAsia="Times New Roman" w:hAnsi="Times New Roman" w:cs="Times New Roman"/>
          <w:color w:val="000000"/>
          <w:sz w:val="24"/>
          <w:szCs w:val="24"/>
        </w:rPr>
        <w:t xml:space="preserve">La finalità del presente Principio è quella di richiedere informazioni sulle variazioni nel tempo delle disponibilità liquide e dei mezzi equivalenti di un’impresa attraverso la predisposizione di un rendiconto finanziario che classifichi i flussi finanziari derivanti dall’attività operativa, di investimento e finanziaria durante l’esercizio.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3" w:name="AMBITO_DI_APPLICAZIONE__"/>
      <w:r w:rsidRPr="00465536">
        <w:rPr>
          <w:rFonts w:ascii="Times New Roman" w:eastAsia="Times New Roman" w:hAnsi="Times New Roman" w:cs="Times New Roman"/>
          <w:color w:val="000000"/>
          <w:sz w:val="20"/>
          <w:szCs w:val="20"/>
        </w:rPr>
        <w:t>AMBITO DI APPLICAZIONE</w:t>
      </w:r>
      <w:bookmarkEnd w:id="3"/>
    </w:p>
    <w:p w:rsidR="00465536" w:rsidRPr="00465536" w:rsidRDefault="00465536" w:rsidP="00465536">
      <w:pPr>
        <w:spacing w:before="100" w:beforeAutospacing="1" w:after="100" w:afterAutospacing="1" w:line="240" w:lineRule="auto"/>
        <w:ind w:right="-1" w:hanging="225"/>
        <w:jc w:val="both"/>
        <w:rPr>
          <w:rFonts w:ascii="Arial" w:eastAsia="Times New Roman" w:hAnsi="Arial" w:cs="Arial"/>
          <w:sz w:val="20"/>
          <w:szCs w:val="20"/>
        </w:rPr>
      </w:pPr>
      <w:r w:rsidRPr="00465536">
        <w:rPr>
          <w:rFonts w:ascii="Arial" w:eastAsia="Times New Roman" w:hAnsi="Arial" w:cs="Arial"/>
          <w:color w:val="000000"/>
          <w:sz w:val="20"/>
          <w:szCs w:val="20"/>
        </w:rPr>
        <w:t xml:space="preserve">1. </w:t>
      </w:r>
      <w:r w:rsidRPr="00465536">
        <w:rPr>
          <w:rFonts w:ascii="Arial" w:eastAsia="Times New Roman" w:hAnsi="Arial" w:cs="Arial"/>
          <w:b/>
          <w:bCs/>
          <w:i/>
          <w:iCs/>
          <w:color w:val="000000"/>
          <w:sz w:val="20"/>
          <w:szCs w:val="20"/>
        </w:rPr>
        <w:t>Un’impresa deve predisporre il rendiconto finanziario secondo quanto previsto dal presente Principio e deve presentarlo come parte integrante del suo bilancio per ciascun esercizio per il quale il bilancio è presentato.</w:t>
      </w:r>
      <w:r w:rsidRPr="00465536">
        <w:rPr>
          <w:rFonts w:ascii="Arial" w:eastAsia="Times New Roman" w:hAnsi="Arial" w:cs="Arial"/>
          <w:b/>
          <w:bCs/>
          <w:i/>
          <w:iCs/>
          <w:sz w:val="20"/>
          <w:szCs w:val="20"/>
        </w:rPr>
        <w:t xml:space="preserve"> </w:t>
      </w:r>
    </w:p>
    <w:p w:rsidR="00465536" w:rsidRPr="00465536" w:rsidRDefault="00465536" w:rsidP="00465536">
      <w:pPr>
        <w:spacing w:before="100" w:beforeAutospacing="1" w:after="100" w:afterAutospacing="1" w:line="240" w:lineRule="auto"/>
        <w:ind w:right="-1" w:hanging="225"/>
        <w:jc w:val="both"/>
        <w:rPr>
          <w:rFonts w:ascii="Arial" w:eastAsia="Times New Roman" w:hAnsi="Arial" w:cs="Arial"/>
          <w:sz w:val="20"/>
          <w:szCs w:val="20"/>
        </w:rPr>
      </w:pPr>
      <w:r w:rsidRPr="00465536">
        <w:rPr>
          <w:rFonts w:ascii="Arial" w:eastAsia="Times New Roman" w:hAnsi="Arial" w:cs="Arial"/>
          <w:sz w:val="20"/>
          <w:szCs w:val="20"/>
        </w:rPr>
        <w:t xml:space="preserve">2. Il presente Principio sostituisce lo IAS 7, </w:t>
      </w:r>
      <w:r w:rsidRPr="00465536">
        <w:rPr>
          <w:rFonts w:ascii="Arial" w:eastAsia="Times New Roman" w:hAnsi="Arial" w:cs="Arial"/>
          <w:i/>
          <w:iCs/>
          <w:sz w:val="20"/>
          <w:szCs w:val="20"/>
        </w:rPr>
        <w:t>Prospetto delle variazioni della situazione finanziaria</w:t>
      </w:r>
      <w:r w:rsidRPr="00465536">
        <w:rPr>
          <w:rFonts w:ascii="Arial" w:eastAsia="Times New Roman" w:hAnsi="Arial" w:cs="Arial"/>
          <w:sz w:val="20"/>
          <w:szCs w:val="20"/>
        </w:rPr>
        <w:t>, approvato nel luglio 1977.</w:t>
      </w:r>
    </w:p>
    <w:p w:rsidR="00465536" w:rsidRPr="00465536" w:rsidRDefault="00465536" w:rsidP="00465536">
      <w:pPr>
        <w:spacing w:before="100" w:beforeAutospacing="1" w:after="100" w:afterAutospacing="1" w:line="240" w:lineRule="auto"/>
        <w:ind w:right="-1" w:hanging="225"/>
        <w:jc w:val="both"/>
        <w:rPr>
          <w:rFonts w:ascii="Arial" w:eastAsia="Times New Roman" w:hAnsi="Arial" w:cs="Arial"/>
          <w:sz w:val="20"/>
          <w:szCs w:val="20"/>
        </w:rPr>
      </w:pPr>
      <w:r w:rsidRPr="00465536">
        <w:rPr>
          <w:rFonts w:ascii="Arial" w:eastAsia="Times New Roman" w:hAnsi="Arial" w:cs="Arial"/>
          <w:sz w:val="20"/>
          <w:szCs w:val="20"/>
        </w:rPr>
        <w:t>3. Gli utilizzatori del bilancio di un’impresa sono interessati a conoscere come l’impresa genera e utilizza le disponibilità liquide e i mezzi equivalenti, indipendentemente dal tipo di attività dell’impresa e dal fatto che le disponibilità liquide possano essere considerate come il prodotto dell’impresa, come è nel caso degli istituti finanziari. Per quanto le imprese possano differire nella loro gestione ordinaria, esse hanno bisogno di disponibilità liquide, sostanzialmente per gli stessi motivi. Esse hanno bisogno di disponibilità liquide per condurre le loro operazioni, per onorare le loro obbligazioni e per produrre utili per gli investitori. Per questi motivi, il presente Principio richiede che tutte le imprese presentino un rendiconto finanziario.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4" w:name="BENEFICI_APPORTATI_DALLE_INFORMAZIONI_SU"/>
      <w:r w:rsidRPr="00465536">
        <w:rPr>
          <w:rFonts w:ascii="Times New Roman" w:eastAsia="Times New Roman" w:hAnsi="Times New Roman" w:cs="Times New Roman"/>
          <w:sz w:val="20"/>
          <w:szCs w:val="20"/>
        </w:rPr>
        <w:t xml:space="preserve">BENEFICI APPORTATI DALLE INFORMAZIONI SUI FLUSSI FINANZIARI </w:t>
      </w:r>
      <w:bookmarkEnd w:id="4"/>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4. Un rendiconto finanziario, se utilizzato unitamente alle altre parti del bilancio, fornisce informazioni che permettono agli utilizzatori di valutare le variazioni nell’attivo netto dell’impresa, la sua struttura finanziaria (compresa la sua liquidità e solvibilità) e la sua capacità di influire sulla dimensione e sulla tempistica dei flussi finanziari allo scopo di adeguarsi ai cambiamenti e alle opportunità. Le informazioni sui flussi finanziari sono utili per accertare la capacità dell’impresa di generare disponibilità liquide e mezzi equivalenti e mettono in grado gli utilizzatori di sviluppare sistemi per accertare e confrontare il valore attuale dei futuri flussi finanziari di differenti imprese. Tali informazioni, inoltre, migliorano la confrontabilità dei risultati operativi tra imprese differenti perché eliminano gli effetti dell’impiego di trattamenti contabili differenti per i medesimi fatti e operazioni.</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5. Informazioni storiche sui flussi finanziari vengono spesso impiegate come un indicatore dell’ammontare, della tempistica e del grado di certezza dei flussi finanziari futuri. Esse sono utili anche per controllare la precisione delle stime passate dei flussi finanziari futuri e per esaminare la relazione tra redditività e flussi finanziari netti e l’effetto di cambiamenti dei prezzi.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5" w:name="DEFINIZIONI__"/>
      <w:r w:rsidRPr="00465536">
        <w:rPr>
          <w:rFonts w:ascii="Times New Roman" w:eastAsia="Times New Roman" w:hAnsi="Times New Roman" w:cs="Times New Roman"/>
          <w:color w:val="000000"/>
          <w:sz w:val="20"/>
          <w:szCs w:val="20"/>
        </w:rPr>
        <w:t>DEFINIZIONI</w:t>
      </w:r>
      <w:r w:rsidRPr="00465536">
        <w:rPr>
          <w:rFonts w:ascii="Times New Roman" w:eastAsia="Times New Roman" w:hAnsi="Times New Roman" w:cs="Times New Roman"/>
          <w:sz w:val="20"/>
          <w:szCs w:val="20"/>
        </w:rPr>
        <w:t xml:space="preserve"> </w:t>
      </w:r>
      <w:bookmarkEnd w:id="5"/>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 xml:space="preserve">6. </w:t>
      </w:r>
      <w:r w:rsidRPr="00465536">
        <w:rPr>
          <w:rFonts w:ascii="Times New Roman" w:eastAsia="Times New Roman" w:hAnsi="Times New Roman" w:cs="Times New Roman"/>
          <w:b/>
          <w:bCs/>
          <w:i/>
          <w:iCs/>
          <w:color w:val="000000"/>
          <w:sz w:val="20"/>
          <w:szCs w:val="20"/>
        </w:rPr>
        <w:t>I termini seguenti sono utilizzati nel presente Principio con i significati indicati:</w:t>
      </w:r>
      <w:r w:rsidRPr="00465536">
        <w:rPr>
          <w:rFonts w:ascii="Times New Roman" w:eastAsia="Times New Roman" w:hAnsi="Times New Roman" w:cs="Times New Roman"/>
          <w:b/>
          <w:bCs/>
          <w:i/>
          <w:iCs/>
          <w:sz w:val="20"/>
          <w:szCs w:val="20"/>
        </w:rPr>
        <w:t xml:space="preserve">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b/>
          <w:bCs/>
          <w:i/>
          <w:iCs/>
          <w:color w:val="000000"/>
          <w:sz w:val="20"/>
          <w:szCs w:val="20"/>
        </w:rPr>
        <w:lastRenderedPageBreak/>
        <w:t>Disponibilità liquide comprendono la cassa e i depositi a vista. Disponibilità liquide equivalenti rappresentano investimenti finanziari a breve termine e ad alta liquidità che sono prontamente convertibili in valori di cassa noti e che sono soggetti a un irrilevante rischio di variazione del loro valore. Flussi finanziari sono le entrate e le uscite di disponibilità liquide e mezzi equivalenti. Attività operativa rappresenta le principali attività generatrici di ricavi dell’impresa e le altre attività di gestione che non sono di investimento o finanziarie. Attività di investimento comprende l’acquisto e la cessione di attività immobilizzate e gli altri investimenti finanziari non rientranti nelle disponibilità liquide equivalenti. Attività finanziaria rappresenta l’attività che comporta la modificazione della dimensione e della composizione del capitale netto e dei finanziamenti ottenuti dall’impresa</w:t>
      </w:r>
      <w:r w:rsidRPr="00465536">
        <w:rPr>
          <w:rFonts w:ascii="Times New Roman" w:eastAsia="Times New Roman" w:hAnsi="Times New Roman" w:cs="Times New Roman"/>
          <w:color w:val="000000"/>
          <w:sz w:val="20"/>
          <w:szCs w:val="20"/>
        </w:rPr>
        <w:t xml:space="preserve">.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6" w:name="Disponibilità_liquide_e_mezzi_equivalent"/>
      <w:r w:rsidRPr="00465536">
        <w:rPr>
          <w:rFonts w:ascii="Times New Roman" w:eastAsia="Times New Roman" w:hAnsi="Times New Roman" w:cs="Times New Roman"/>
          <w:i/>
          <w:iCs/>
          <w:color w:val="000000"/>
          <w:sz w:val="20"/>
          <w:szCs w:val="20"/>
        </w:rPr>
        <w:t>Disponibilità liquide e mezzi equivalenti</w:t>
      </w:r>
      <w:r w:rsidRPr="00465536">
        <w:rPr>
          <w:rFonts w:ascii="Times New Roman" w:eastAsia="Times New Roman" w:hAnsi="Times New Roman" w:cs="Times New Roman"/>
          <w:i/>
          <w:iCs/>
          <w:sz w:val="20"/>
          <w:szCs w:val="20"/>
        </w:rPr>
        <w:t xml:space="preserve"> </w:t>
      </w:r>
      <w:bookmarkEnd w:id="6"/>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7. Le disponibilità liquide equivalenti sono quelle possedute per soddisfare gli impegni di cassa a breve termine, invece che per investimento o per altri scopi. Perché un investimento possa essere considerato come disponibilità liquida equivalente esso deve essere prontamente convertibile in un ammontare noto di denaro e deve essere soggetto a un irrilevante rischio di variazione del valore. Perciò, un investimento è classificato, solitamente, come disponibilità liquida equivalente solo quando esso è a breve scadenza, cioè, per esempio, a tre mesi o meno dalla data d’acquisto. Gli investimenti finanziari azionari sono esclusi dalla classificazione come disponibilità liquide equivalenti a meno che essi siano, di fatto, equivalenti alle disponibilità liquide, quali le azioni privilegiate acquistate in un momento vicino alla loro scadenza e con una data di rimborso determinata.</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8. I prestiti bancari rientrano, solitamente, nell’attività finanziaria. In alcuni Paesi, tuttavia, gli scoperti bancari che sono rimborsabili a vista formano parte integrante della gestione delle disponibilità liquide di un’impresa. In questi casi, gli scoperti bancari devono essere inclusi come componenti di disponibilità liquide o mezzi equivalenti. Una caratteristica di tali accordi bancari è che il saldo del conto spesso oscilla tra l’essere positivo o negativo.</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9. Dai flussi finanziari sono esclusi i movimenti tra elementi che costituiscono disponibilità liquide o mezzi equivalenti perché essi fanno parte della gestione della liquidità di un’impresa piuttosto che della sua attività operativa, di investimento e finanziaria. La gestione della liquidità deve ricomprendere l’investimento delle eccedenze di disponibilità liquide in disponibilità liquide equivalenti.</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7" w:name="PRESENTAZIONE_DEL_RENDICONTO_FINANZIARIO"/>
      <w:r w:rsidRPr="00465536">
        <w:rPr>
          <w:rFonts w:ascii="Times New Roman" w:eastAsia="Times New Roman" w:hAnsi="Times New Roman" w:cs="Times New Roman"/>
          <w:color w:val="000000"/>
          <w:sz w:val="20"/>
          <w:szCs w:val="20"/>
        </w:rPr>
        <w:t>PRESENTAZIONE DEL RENDICONTO FINANZIARIO</w:t>
      </w:r>
      <w:r w:rsidRPr="00465536">
        <w:rPr>
          <w:rFonts w:ascii="Times New Roman" w:eastAsia="Times New Roman" w:hAnsi="Times New Roman" w:cs="Times New Roman"/>
          <w:sz w:val="20"/>
          <w:szCs w:val="20"/>
        </w:rPr>
        <w:t xml:space="preserve"> </w:t>
      </w:r>
      <w:bookmarkEnd w:id="7"/>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 xml:space="preserve">10. </w:t>
      </w:r>
      <w:r w:rsidRPr="00465536">
        <w:rPr>
          <w:rFonts w:ascii="Times New Roman" w:eastAsia="Times New Roman" w:hAnsi="Times New Roman" w:cs="Times New Roman"/>
          <w:b/>
          <w:bCs/>
          <w:i/>
          <w:iCs/>
          <w:color w:val="000000"/>
          <w:sz w:val="20"/>
          <w:szCs w:val="20"/>
        </w:rPr>
        <w:t>Il rendiconto finanziario deve presentare i flussi finanziari avvenuti nell’esercizio classificandoli tra attività operativa, di investimento e finanziaria.</w:t>
      </w:r>
      <w:r w:rsidRPr="00465536">
        <w:rPr>
          <w:rFonts w:ascii="Times New Roman" w:eastAsia="Times New Roman" w:hAnsi="Times New Roman" w:cs="Times New Roman"/>
          <w:b/>
          <w:bCs/>
          <w:i/>
          <w:iCs/>
          <w:sz w:val="20"/>
          <w:szCs w:val="20"/>
        </w:rPr>
        <w:t xml:space="preserve">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11. L’impresa deve presentare i flussi finanziari della sua attività operativa, di investimento e finanziaria nel modo che risulta più appropriato per la propria attività. La classificazione per attività fornisce informazioni che permettono di accertare l’effetto di tale attività sulla posizione finanziaria dell’impresa e l’ammontare delle sue disponibilità liquide e mezzi equivalenti. Queste informazioni possono essere utilizzate anche per valutare le relazioni tra tali attività.</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12. Una singola operazione può comprendere flussi finanziari diversamente classificati. Per esempio, quando il rimborso di un prestito comprende sia l’interesse sia il capitale, la parte di interesse può essere fatta rientrare nell’attività operativa e la parte di capitale nell’attività finanziaria.</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8" w:name="Attività_operativa__"/>
      <w:r w:rsidRPr="00465536">
        <w:rPr>
          <w:rFonts w:ascii="Times New Roman" w:eastAsia="Times New Roman" w:hAnsi="Times New Roman" w:cs="Times New Roman"/>
          <w:i/>
          <w:iCs/>
          <w:color w:val="000000"/>
          <w:sz w:val="20"/>
          <w:szCs w:val="20"/>
        </w:rPr>
        <w:t>Attività operativa</w:t>
      </w:r>
      <w:r w:rsidRPr="00465536">
        <w:rPr>
          <w:rFonts w:ascii="Times New Roman" w:eastAsia="Times New Roman" w:hAnsi="Times New Roman" w:cs="Times New Roman"/>
          <w:i/>
          <w:iCs/>
          <w:sz w:val="20"/>
          <w:szCs w:val="20"/>
        </w:rPr>
        <w:t xml:space="preserve"> </w:t>
      </w:r>
      <w:bookmarkEnd w:id="8"/>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13.L’ammontare dei flussi finanziari derivanti dall’attività operativa è un indicatore chiave della misura in cui l’attività dell’impresa ha generato flussi finanziari sufficienti a rimborsare prestiti, a mantenere la capacità operativa dell’impresa, a pagare i dividendi e a effettuare nuovi investimenti finanziari senza ricorrere a fonti di finanziamento esterne all’impresa. Le informazioni riguardo i singoli componenti dei valori storici dei flussi finanziari operativi sono utili, unite ad altre informazioni, nella previsione dei futuri flussi finanziari operativi.</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14. I flussi finanziari generati dall’attività operativa derivano principalmente dalle principali attività generatrici di ricavi dell’impresa. Perciò essi derivano, solitamente, dalle operazioni di gestione e dagli altri fatti e operazioni che partecipano alla determinazione dell’utile o della perdita d’esercizio:</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(a) incassi dalla vendita di prodotti e dalla prestazione di servizi;</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(b) incassi da royalties, compensi, commissioni e altri ricavi;</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lastRenderedPageBreak/>
        <w:t>(c) pagamenti a fornitori di merci e servizi;</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(d) pagamenti a, e per conto di, lavoratori dipendenti;</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(e) incassi e pagamenti di un’impresa assicuratrice per premi e risarcimenti, annualità e altre indennità previste dalla polizza;</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(f)  pagamenti o rimborsi di imposte sul reddito a meno che essi non possano essere specificatamente fatti rientrare nell’attività finanziaria e di investimento; 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(g) incassi e pagamenti derivanti da contratti stipulati a scopo di negoziazione o commerciale. Alcune operazioni, quali la vendita di un elemento degli impianti, possono dare origine a utili o perdite che partecipano alla determinazione dell’utile o della perdita dell’esercizio. Tuttavia, i flussi finanziari relativi a tali operazioni sono flussi finanziari derivanti dall’attività di investimento.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Alcune operazioni, quali la vendita di un elemento degli impianti, possono dare origine a utili o perdite che vanno inseriti nella rilevazione dell’utile (perdita) d’esercizio. I flussi finanziari relativi a tali operazioni sono flussi finanziari derivanti dall’attività di investimento. Tuttavia, i pagamenti in contanti per produrre o acquisire attività possedute per la locazione ad altri e successivamente possedute per la vendita come descritto nel paragrafo 68A dello IAS 16 Immobili, impianti e macchinari sono flussi finanziari da attività operative. Gli incassi derivanti da locazioni e successive vendite di tali beni sono anch’essi flussi finanziari da attività operative.</w:t>
      </w:r>
    </w:p>
    <w:p w:rsidR="00465536" w:rsidRPr="00465536" w:rsidRDefault="00465536" w:rsidP="00465536">
      <w:pPr>
        <w:spacing w:before="100" w:beforeAutospacing="1" w:after="100" w:afterAutospacing="1" w:line="240" w:lineRule="auto"/>
        <w:ind w:right="-1" w:hanging="270"/>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15. L’impresa può possedere titoli mobiliari e prestiti a scopo di negoziazione commerciale; in questo caso essi devono essere trattati come rimanenze acquistate specificatamente per la rivendita. Perciò, i flussi finanziari derivanti dall’acquisto e dalla vendita di titoli mobiliari posseduti a scopo di negoziazione commerciale devono essere fatti rientrare nell’attività operativa. Analogamente, anticipazioni di cassa e prestiti fatti da istituti finanziari sono solitamente classificati come attività operative dato che essi sono relativi alla principale attività generatrice di ricavi dell’impresa.</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16.  L’informazione distinta relativa ai flussi finanziari derivanti dall’attività di investimento è importante perché tali flussi finanziari rappresentano la misura in cui i costi sono stati sostenuti per acquisire risorse destinate a produrre futuri proventi e flussi finanziari. Soltanto i costi che danno luogo a un’attività rilevata nel prospetto della situazione patrimoniale-finanziaria sono classificabili come attività di investimento. Esempi di flussi finanziari derivanti da attività di investimento sono: </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(a) pagamenti per acquistare immobili, impianti e macchinari, beni immateriali e altri beni immobilizzati. Questi pagamenti comprendono quelli relativi ai costi di sviluppo capitalizzati e a immobili, impianti e macchinari di costru</w:t>
      </w:r>
      <w:r w:rsidRPr="00465536">
        <w:rPr>
          <w:rFonts w:ascii="Times New Roman" w:eastAsia="Times New Roman" w:hAnsi="Times New Roman" w:cs="Times New Roman"/>
          <w:sz w:val="20"/>
          <w:szCs w:val="20"/>
        </w:rPr>
        <w:softHyphen/>
        <w:t>zione interna;</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(b) entrate dalla vendita di immobili, impianti e macchinari, attività immateriali e altre attività a lungo termine;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(c) pagamenti per l’acquisizione di strumenti rappresentativi di capitale o di debito di altre imprese e partecipazioni in joint venture (diversi dai pagamenti per i titoli assimilati alle disponibilità liquide equivalenti o posseduti a scopo di negoziazione commerciale);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(d) incassi dalla vendita di strumenti rappresentativi di capitale o di debito di altre imprese e partecipazioni in joint venture (diverse dalle entrate per i titoli assimilati alle disponibilità liquide equivalenti o posseduti a scopo di nego</w:t>
      </w:r>
      <w:r w:rsidRPr="00465536">
        <w:rPr>
          <w:rFonts w:ascii="Times New Roman" w:eastAsia="Times New Roman" w:hAnsi="Times New Roman" w:cs="Times New Roman"/>
          <w:sz w:val="20"/>
          <w:szCs w:val="20"/>
        </w:rPr>
        <w:softHyphen/>
        <w:t>ziazione commerciale);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(e) anticipazioni e prestiti fatti a terzi (diversi da anticipazioni e prestiti fatti da un istituto finanziario);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(f) incassi derivanti dal rimborso di anticipazioni e prestiti fatti a terzi (diversi da anticipazioni e prestiti fatti da un istituto finanziario);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(g) pagamenti per contratti per consegna a termine, contratti a termine, contratti a premio e contratti swap eccetto quando i contratti sono posseduti a scopo di negoziazione commerciale, o i pagamenti rientrano nell’attività finanziaria; 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lastRenderedPageBreak/>
        <w:t>(h) incassi derivanti da contratti per consegna a termine, contratti a termine, contratti a premio e contratti swap eccetto quando i contratti sono posseduti a scopo di negoziazione commerciale, o gli incassi rientrano nell’attività finanziaria.</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9" w:name="Attività_di_investimento__"/>
      <w:r w:rsidRPr="00465536">
        <w:rPr>
          <w:rFonts w:ascii="Times New Roman" w:eastAsia="Times New Roman" w:hAnsi="Times New Roman" w:cs="Times New Roman"/>
          <w:i/>
          <w:iCs/>
          <w:color w:val="000000"/>
          <w:sz w:val="20"/>
          <w:szCs w:val="20"/>
        </w:rPr>
        <w:t>Attività di investimento</w:t>
      </w:r>
      <w:r w:rsidRPr="00465536">
        <w:rPr>
          <w:rFonts w:ascii="Times New Roman" w:eastAsia="Times New Roman" w:hAnsi="Times New Roman" w:cs="Times New Roman"/>
          <w:i/>
          <w:iCs/>
          <w:sz w:val="20"/>
          <w:szCs w:val="20"/>
        </w:rPr>
        <w:t xml:space="preserve"> </w:t>
      </w:r>
      <w:bookmarkEnd w:id="9"/>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Quando un contratto è rilevato come operazione di copertura di una posizione identificabile, i flussi finanziari connessi con il contratto devono essere classificati allo stesso modo dei flussi finanziari connessi con la posizione che è stata coperta.</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10" w:name="Attività_finanziaria__"/>
      <w:r w:rsidRPr="00465536">
        <w:rPr>
          <w:rFonts w:ascii="Times New Roman" w:eastAsia="Times New Roman" w:hAnsi="Times New Roman" w:cs="Times New Roman"/>
          <w:i/>
          <w:iCs/>
          <w:color w:val="000000"/>
          <w:sz w:val="20"/>
          <w:szCs w:val="20"/>
        </w:rPr>
        <w:t>Attività finanziaria</w:t>
      </w:r>
      <w:r w:rsidRPr="00465536">
        <w:rPr>
          <w:rFonts w:ascii="Times New Roman" w:eastAsia="Times New Roman" w:hAnsi="Times New Roman" w:cs="Times New Roman"/>
          <w:i/>
          <w:iCs/>
          <w:sz w:val="20"/>
          <w:szCs w:val="20"/>
        </w:rPr>
        <w:t xml:space="preserve"> </w:t>
      </w:r>
      <w:bookmarkEnd w:id="10"/>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 xml:space="preserve">17. L’indicazione distinta dei flussi finanziari derivanti dall’attività finanziaria è importante perché essa è utile nella previsione di richieste sui futuri flussi finanziari da parte di chi fornisce i capitali all’impresa. Esempi di flussi finanziari derivanti dall’attività finanziaria sono: </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(a) incassi derivanti dall’emissione di azioni o altri strumenti rappresentativi di capitale;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(b) pagamenti agli azionisti per acquistare o liberare le azioni della società;</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(c) incassi derivanti dall’emissione di obbligazioni, prestiti, cambiali, titoli a reddito fisso, mutui e altri finanziamenti a breve o a lungo termine;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(d) rimborsi di prestiti;</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(e) pagamenti da parte del locatario per la riduzione delle passività esistenti relative a un leasing finanziario.</w:t>
      </w:r>
    </w:p>
    <w:p w:rsidR="00465536" w:rsidRDefault="00465536" w:rsidP="00465536">
      <w:pPr>
        <w:spacing w:before="100" w:beforeAutospacing="1" w:after="100" w:afterAutospacing="1" w:line="240" w:lineRule="auto"/>
        <w:ind w:right="-1"/>
        <w:jc w:val="both"/>
        <w:rPr>
          <w:rFonts w:ascii="Times New Roman" w:eastAsia="Times New Roman" w:hAnsi="Times New Roman" w:cs="Times New Roman"/>
          <w:color w:val="000000"/>
          <w:sz w:val="20"/>
          <w:szCs w:val="20"/>
        </w:rPr>
      </w:pPr>
      <w:bookmarkStart w:id="11" w:name="PRESENTAZIONE_DEI_FLUSSI_FINANZIARI_DELL"/>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PRESENTAZIONE DEI FLUSSI FINANZIARI DELL’ATTIVITÀ OPERATIVA</w:t>
      </w:r>
      <w:r w:rsidRPr="00465536">
        <w:rPr>
          <w:rFonts w:ascii="Times New Roman" w:eastAsia="Times New Roman" w:hAnsi="Times New Roman" w:cs="Times New Roman"/>
          <w:sz w:val="20"/>
          <w:szCs w:val="20"/>
        </w:rPr>
        <w:t xml:space="preserve">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18. </w:t>
      </w:r>
      <w:r w:rsidRPr="00465536">
        <w:rPr>
          <w:rFonts w:ascii="Times New Roman" w:eastAsia="Times New Roman" w:hAnsi="Times New Roman" w:cs="Times New Roman"/>
          <w:b/>
          <w:bCs/>
          <w:i/>
          <w:iCs/>
          <w:color w:val="000000"/>
          <w:sz w:val="20"/>
          <w:szCs w:val="20"/>
        </w:rPr>
        <w:t>Un’impresa deve presentare i flussi finanziari derivanti dall’attività operativa utilizzando, alternativamente:</w:t>
      </w:r>
      <w:r w:rsidRPr="00465536">
        <w:rPr>
          <w:rFonts w:ascii="Times New Roman" w:eastAsia="Times New Roman" w:hAnsi="Times New Roman" w:cs="Times New Roman"/>
          <w:b/>
          <w:bCs/>
          <w:i/>
          <w:iCs/>
          <w:sz w:val="20"/>
          <w:szCs w:val="20"/>
        </w:rPr>
        <w:t xml:space="preserve"> </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(a) </w:t>
      </w:r>
      <w:r w:rsidRPr="00465536">
        <w:rPr>
          <w:rFonts w:ascii="Times New Roman" w:eastAsia="Times New Roman" w:hAnsi="Times New Roman" w:cs="Times New Roman"/>
          <w:b/>
          <w:bCs/>
          <w:i/>
          <w:iCs/>
          <w:sz w:val="20"/>
          <w:szCs w:val="20"/>
        </w:rPr>
        <w:t xml:space="preserve">il metodo diretto, per mezzo del quale sono indicate le principali categorie di incassi e di pagamenti lordi; o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(b) </w:t>
      </w:r>
      <w:r w:rsidRPr="00465536">
        <w:rPr>
          <w:rFonts w:ascii="Times New Roman" w:eastAsia="Times New Roman" w:hAnsi="Times New Roman" w:cs="Times New Roman"/>
          <w:b/>
          <w:bCs/>
          <w:i/>
          <w:iCs/>
          <w:sz w:val="20"/>
          <w:szCs w:val="20"/>
        </w:rPr>
        <w:t>il metodo indiretto, per mezzo del quale l’utile o la perdita d’esercizio sono rettificati dagli effetti delle operazioni di natura non monetaria, da qualsiasi differimento o accantonamento di precedenti o futuri incassi o pagamenti operativi, e da elementi di ricavi o costi connessi con i flussi finanziari derivanti dall’attività di investimento o finanziaria.</w:t>
      </w:r>
      <w:r w:rsidRPr="00465536">
        <w:rPr>
          <w:rFonts w:ascii="Times New Roman" w:eastAsia="Times New Roman" w:hAnsi="Times New Roman" w:cs="Times New Roman"/>
          <w:sz w:val="20"/>
          <w:szCs w:val="20"/>
        </w:rPr>
        <w:t>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19. Le imprese sono incoraggiate a presentare i flussi finanziari derivanti dall’attività operativa utilizzando il metodo diretto. Il metodo diretto fornisce informazioni che possono essere utili nella stima dei futuri flussi finanziari che non sono disponibili con il metodo indiretto. Con il metodo diretto possono essere ottenute le informazioni sulle principali categorie di incassi e pagamenti lordi alternativamente:</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(a) dalle registrazioni contabili dell’impresa; 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(b) rettificando le vendite, il costo del venduto (interessi attivi e proventi finanziari simili e interessi passivi e oneri finanziari simili per un istituto finanziario) e altre voci nel conto economico per:</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(i) variazioni delle rimanenze e dei crediti e debiti generati dall’attività operativa avvenute nel corso dell’esercizio;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(ii) altri elementi non monetari; 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(iii) altri elementi per i quali gli effetti monetari sono flussi finanziari da attività di investimento o finanziarie.</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20. Con il metodo indiretto, il flusso finanziario netto dall’attività operativa è determinato rettificando l’utile o la perdita per gli effetti di:</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lastRenderedPageBreak/>
        <w:t>(a) variazioni delle rimanenze e dei crediti e debiti generati dall’attività operativa avvenute nel corso dell’esercizio;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(b) elementi non monetari quali l’ammortamento, gli accantonamenti, le imposte differite, gli utili e le perdite di cambio non realizzati, gli utili di collegate non distribuiti, e le quote di pertinenza di terzi; 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(c) tutti gli altri elementi i cui effetti monetari sono flussi finanziari dall’attività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di investimento o finanziaria. In alternativa, il flusso finanziario netto derivante dall’attività operativa può essere presentato con il metodo indiretto esponendo i ricavi e i costi indicati nel conto economico e le variazioni delle rimanenze e dei crediti e dei debiti generati dall’attività operativa avvenute nel corso dell’esercizio.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PRESENTAZIONE DEI FLUSSI FINANZIARI DELL’ATTIVITÀ DI INVESTIMENTO E FINANZIARIA</w:t>
      </w:r>
      <w:bookmarkEnd w:id="11"/>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21. </w:t>
      </w:r>
      <w:r w:rsidRPr="00465536">
        <w:rPr>
          <w:rFonts w:ascii="Times New Roman" w:eastAsia="Times New Roman" w:hAnsi="Times New Roman" w:cs="Times New Roman"/>
          <w:b/>
          <w:bCs/>
          <w:i/>
          <w:iCs/>
          <w:sz w:val="20"/>
          <w:szCs w:val="20"/>
        </w:rPr>
        <w:t xml:space="preserve">L’impresa deve presentare distintamente le principali categorie di incassi e pagamenti lordi derivanti dall’attività di investimento e finanziaria, a eccezione dei casi in cui i flussi finanziari descritti nei paragrafi da 22 a 24 siano presentati al netto.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22. </w:t>
      </w:r>
      <w:r w:rsidRPr="00465536">
        <w:rPr>
          <w:rFonts w:ascii="Times New Roman" w:eastAsia="Times New Roman" w:hAnsi="Times New Roman" w:cs="Times New Roman"/>
          <w:b/>
          <w:bCs/>
          <w:i/>
          <w:iCs/>
          <w:sz w:val="20"/>
          <w:szCs w:val="20"/>
        </w:rPr>
        <w:t xml:space="preserve">Possono essere presentati al netto i flussi finanziari derivanti dai seguenti eventi dell’attività operativa: </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(a) </w:t>
      </w:r>
      <w:r w:rsidRPr="00465536">
        <w:rPr>
          <w:rFonts w:ascii="Times New Roman" w:eastAsia="Times New Roman" w:hAnsi="Times New Roman" w:cs="Times New Roman"/>
          <w:b/>
          <w:bCs/>
          <w:i/>
          <w:iCs/>
          <w:sz w:val="20"/>
          <w:szCs w:val="20"/>
        </w:rPr>
        <w:t xml:space="preserve">incassi o pagamenti per conto di clienti quando i flussi finanziari riflettono attività del cliente piuttosto che dell’impresa; e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(b) </w:t>
      </w:r>
      <w:r w:rsidRPr="00465536">
        <w:rPr>
          <w:rFonts w:ascii="Times New Roman" w:eastAsia="Times New Roman" w:hAnsi="Times New Roman" w:cs="Times New Roman"/>
          <w:b/>
          <w:bCs/>
          <w:i/>
          <w:iCs/>
          <w:sz w:val="20"/>
          <w:szCs w:val="20"/>
        </w:rPr>
        <w:t xml:space="preserve">incassi o pagamenti relativi a elementi la cui rotazione è rapida, gli </w:t>
      </w:r>
      <w:proofErr w:type="spellStart"/>
      <w:r w:rsidRPr="00465536">
        <w:rPr>
          <w:rFonts w:ascii="Times New Roman" w:eastAsia="Times New Roman" w:hAnsi="Times New Roman" w:cs="Times New Roman"/>
          <w:b/>
          <w:bCs/>
          <w:i/>
          <w:iCs/>
          <w:sz w:val="20"/>
          <w:szCs w:val="20"/>
        </w:rPr>
        <w:t>ammontari</w:t>
      </w:r>
      <w:proofErr w:type="spellEnd"/>
      <w:r w:rsidRPr="00465536">
        <w:rPr>
          <w:rFonts w:ascii="Times New Roman" w:eastAsia="Times New Roman" w:hAnsi="Times New Roman" w:cs="Times New Roman"/>
          <w:b/>
          <w:bCs/>
          <w:i/>
          <w:iCs/>
          <w:sz w:val="20"/>
          <w:szCs w:val="20"/>
        </w:rPr>
        <w:t xml:space="preserve"> sono elevati e la scadenza è a breve.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  </w:t>
      </w:r>
      <w:bookmarkStart w:id="12" w:name="PRESENTAZIONE_DEI_FLUSSI_FINANZIARI_AL_N"/>
      <w:r w:rsidRPr="00465536">
        <w:rPr>
          <w:rFonts w:ascii="Times New Roman" w:eastAsia="Times New Roman" w:hAnsi="Times New Roman" w:cs="Times New Roman"/>
          <w:color w:val="000000"/>
          <w:sz w:val="20"/>
          <w:szCs w:val="20"/>
        </w:rPr>
        <w:t>PRESENTAZIONE DEI FLUSSI FINANZIARI AL NETTO</w:t>
      </w:r>
      <w:r w:rsidRPr="00465536">
        <w:rPr>
          <w:rFonts w:ascii="Times New Roman" w:eastAsia="Times New Roman" w:hAnsi="Times New Roman" w:cs="Times New Roman"/>
          <w:sz w:val="20"/>
          <w:szCs w:val="20"/>
        </w:rPr>
        <w:t xml:space="preserve"> </w:t>
      </w:r>
      <w:bookmarkEnd w:id="12"/>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 xml:space="preserve">23.   Esempi di incassi e pagamenti ai quali si riferisce il paragrafo 22 (a) sono: </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(a) l’accettazione e il rimborso di depositi bancari a vista;</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(b) fondi posseduti per conto di clienti da parte di una società di investimento; e</w:t>
      </w:r>
    </w:p>
    <w:p w:rsid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Pr="00465536">
        <w:rPr>
          <w:rFonts w:ascii="Times New Roman" w:eastAsia="Times New Roman" w:hAnsi="Times New Roman" w:cs="Times New Roman"/>
          <w:sz w:val="20"/>
          <w:szCs w:val="20"/>
        </w:rPr>
        <w:t>affitti incassati per conto di e pagati ai proprietari di immobili.</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Esempi di incassi e pagamenti ai quali si riferisce il paragrafo 22 (b) sono le anticipazioni fatte per i rimborsi di:</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(a) importi relativi alle operazioni effettuate da clienti con carte di credito;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(b) l’acquisto e la vendita di investimenti finanziari; 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(c) altri finanziamenti a breve termine quali quelli che hanno una durata di tre mesi o inferiore.</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 xml:space="preserve">24.   </w:t>
      </w:r>
      <w:r w:rsidRPr="00465536">
        <w:rPr>
          <w:rFonts w:ascii="Times New Roman" w:eastAsia="Times New Roman" w:hAnsi="Times New Roman" w:cs="Times New Roman"/>
          <w:b/>
          <w:bCs/>
          <w:i/>
          <w:iCs/>
          <w:color w:val="000000"/>
          <w:sz w:val="20"/>
          <w:szCs w:val="20"/>
        </w:rPr>
        <w:t>I flussi finanziari derivanti da ciascuna delle seguenti attività degli istituti finanziari possono essere presentati al netto:</w:t>
      </w:r>
      <w:r w:rsidRPr="00465536">
        <w:rPr>
          <w:rFonts w:ascii="Times New Roman" w:eastAsia="Times New Roman" w:hAnsi="Times New Roman" w:cs="Times New Roman"/>
          <w:b/>
          <w:bCs/>
          <w:i/>
          <w:iCs/>
          <w:sz w:val="20"/>
          <w:szCs w:val="20"/>
        </w:rPr>
        <w:t xml:space="preserve"> </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(a) </w:t>
      </w:r>
      <w:r w:rsidRPr="00465536">
        <w:rPr>
          <w:rFonts w:ascii="Times New Roman" w:eastAsia="Times New Roman" w:hAnsi="Times New Roman" w:cs="Times New Roman"/>
          <w:b/>
          <w:bCs/>
          <w:i/>
          <w:iCs/>
          <w:sz w:val="20"/>
          <w:szCs w:val="20"/>
        </w:rPr>
        <w:t xml:space="preserve">incassi e pagamenti per l’accettazione e il rimborso di depositi con una data di scadenza determinata;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(b) </w:t>
      </w:r>
      <w:r w:rsidRPr="00465536">
        <w:rPr>
          <w:rFonts w:ascii="Times New Roman" w:eastAsia="Times New Roman" w:hAnsi="Times New Roman" w:cs="Times New Roman"/>
          <w:b/>
          <w:bCs/>
          <w:i/>
          <w:iCs/>
          <w:sz w:val="20"/>
          <w:szCs w:val="20"/>
        </w:rPr>
        <w:t xml:space="preserve">il collocamento e il ritiro di depositi presso altri enti finanziari; e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(c) </w:t>
      </w:r>
      <w:r w:rsidRPr="00465536">
        <w:rPr>
          <w:rFonts w:ascii="Times New Roman" w:eastAsia="Times New Roman" w:hAnsi="Times New Roman" w:cs="Times New Roman"/>
          <w:b/>
          <w:bCs/>
          <w:i/>
          <w:iCs/>
          <w:sz w:val="20"/>
          <w:szCs w:val="20"/>
        </w:rPr>
        <w:t xml:space="preserve">anticipi e prestiti a clienti e il rispettivo rimborso. </w:t>
      </w:r>
      <w:r w:rsidRPr="00465536">
        <w:rPr>
          <w:rFonts w:ascii="Times New Roman" w:eastAsia="Times New Roman" w:hAnsi="Times New Roman" w:cs="Times New Roman"/>
          <w:sz w:val="20"/>
          <w:szCs w:val="20"/>
        </w:rPr>
        <w:t>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13" w:name="FLUSSI_FINANZIARI_IN_VALUTA_ESTERA__"/>
      <w:r w:rsidRPr="00465536">
        <w:rPr>
          <w:rFonts w:ascii="Times New Roman" w:eastAsia="Times New Roman" w:hAnsi="Times New Roman" w:cs="Times New Roman"/>
          <w:color w:val="000000"/>
          <w:sz w:val="20"/>
          <w:szCs w:val="20"/>
        </w:rPr>
        <w:t xml:space="preserve">FLUSSI FINANZIARI IN VALUTA ESTERA </w:t>
      </w:r>
      <w:bookmarkEnd w:id="13"/>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25. </w:t>
      </w:r>
      <w:r w:rsidRPr="00465536">
        <w:rPr>
          <w:rFonts w:ascii="Times New Roman" w:eastAsia="Times New Roman" w:hAnsi="Times New Roman" w:cs="Times New Roman"/>
          <w:b/>
          <w:bCs/>
          <w:i/>
          <w:iCs/>
          <w:sz w:val="20"/>
          <w:szCs w:val="20"/>
        </w:rPr>
        <w:t xml:space="preserve">I flussi finanziari derivanti da operazioni in valuta estera devono essere iscritti nella moneta funzionale dell’entità, applicando all’ammontare in valuta estera il cambio tra la valuta funzionale e la valuta estera del giorno in cui avviene il flusso finanziario.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lastRenderedPageBreak/>
        <w:t xml:space="preserve">26. </w:t>
      </w:r>
      <w:r w:rsidRPr="00465536">
        <w:rPr>
          <w:rFonts w:ascii="Times New Roman" w:eastAsia="Times New Roman" w:hAnsi="Times New Roman" w:cs="Times New Roman"/>
          <w:b/>
          <w:bCs/>
          <w:i/>
          <w:iCs/>
          <w:sz w:val="20"/>
          <w:szCs w:val="20"/>
        </w:rPr>
        <w:t>I flussi finanziari di una controllata estera devono essere convertiti al cambio tra la moneta di conto e la valuta funzionale del giorno in cui avvengono i flussi finanziari.</w:t>
      </w:r>
      <w:r w:rsidRPr="00465536">
        <w:rPr>
          <w:rFonts w:ascii="Times New Roman" w:eastAsia="Times New Roman" w:hAnsi="Times New Roman" w:cs="Times New Roman"/>
          <w:sz w:val="20"/>
          <w:szCs w:val="20"/>
        </w:rPr>
        <w:t>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27. I flussi finanziari espressi in valuta estera devono essere presentati in modo coerente con lo </w:t>
      </w:r>
      <w:hyperlink r:id="rId27" w:history="1">
        <w:r w:rsidRPr="00465536">
          <w:rPr>
            <w:rFonts w:ascii="Times New Roman" w:eastAsia="Times New Roman" w:hAnsi="Times New Roman" w:cs="Times New Roman"/>
            <w:color w:val="0000FF"/>
            <w:sz w:val="20"/>
            <w:u w:val="single"/>
          </w:rPr>
          <w:t>IAS 21</w:t>
        </w:r>
      </w:hyperlink>
      <w:r w:rsidRPr="00465536">
        <w:rPr>
          <w:rFonts w:ascii="Times New Roman" w:eastAsia="Times New Roman" w:hAnsi="Times New Roman" w:cs="Times New Roman"/>
          <w:sz w:val="20"/>
          <w:szCs w:val="20"/>
        </w:rPr>
        <w:t xml:space="preserve">, </w:t>
      </w:r>
      <w:r w:rsidRPr="00465536">
        <w:rPr>
          <w:rFonts w:ascii="Times New Roman" w:eastAsia="Times New Roman" w:hAnsi="Times New Roman" w:cs="Times New Roman"/>
          <w:i/>
          <w:iCs/>
          <w:sz w:val="20"/>
          <w:szCs w:val="20"/>
        </w:rPr>
        <w:t>Effetti delle variazioni dei cambi delle valute estere</w:t>
      </w:r>
      <w:r w:rsidRPr="00465536">
        <w:rPr>
          <w:rFonts w:ascii="Times New Roman" w:eastAsia="Times New Roman" w:hAnsi="Times New Roman" w:cs="Times New Roman"/>
          <w:sz w:val="20"/>
          <w:szCs w:val="20"/>
        </w:rPr>
        <w:t>. Questo permette l’utilizzo di un cambio che approssimi quello effettivo. Per esempio, per rilevare operazioni in valuta estera o convertire i flussi finanziari di una controllata estera può essere utilizzata una media ponderata dei tassi di cambio dell’esercizio. Lo IAS 21, tuttavia, non consente l’utilizzo del cambio alla data di riferimento del bilancio quando si procede alla conversione dei flussi finanziari di una controllata estera.</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28. Utili e perdite derivanti da variazioni nei cambi in valuta estera non realizzati non rappresentano flussi finanziari. Tuttavia, l’effetto delle variazioni nei cambi sulle disponibilità liquide e mezzi equivalenti posseduti, o dovuti, in valuta estera deve </w:t>
      </w:r>
      <w:r w:rsidRPr="00465536">
        <w:rPr>
          <w:rFonts w:ascii="Times New Roman" w:eastAsia="Times New Roman" w:hAnsi="Times New Roman" w:cs="Times New Roman"/>
          <w:color w:val="000000"/>
          <w:sz w:val="20"/>
          <w:szCs w:val="20"/>
        </w:rPr>
        <w:t xml:space="preserve">essere presentato nel rendiconto finanziario allo scopo di riconciliare il valore delle disponibilità liquide e mezzi equivalenti all’inizio e alla fine dell’esercizio. Questo importo deve essere esposto separatamente dai flussi finanziari dell’attività operativa, di investimento e finanziaria e deve comprendere le eventuali differenze qualora tali flussi finanziari fossero stati esposti utilizzando i cambi alla data di chiusura dell’esercizio.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14" w:name="COMPONENTI_STRAORDINARI__"/>
      <w:r w:rsidRPr="00465536">
        <w:rPr>
          <w:rFonts w:ascii="Times New Roman" w:eastAsia="Times New Roman" w:hAnsi="Times New Roman" w:cs="Times New Roman"/>
          <w:color w:val="000000"/>
          <w:sz w:val="20"/>
          <w:szCs w:val="20"/>
        </w:rPr>
        <w:t>COMPONENTI STRAORDINARI</w:t>
      </w:r>
      <w:r w:rsidRPr="00465536">
        <w:rPr>
          <w:rFonts w:ascii="Times New Roman" w:eastAsia="Times New Roman" w:hAnsi="Times New Roman" w:cs="Times New Roman"/>
          <w:sz w:val="20"/>
          <w:szCs w:val="20"/>
        </w:rPr>
        <w:t xml:space="preserve"> </w:t>
      </w:r>
      <w:bookmarkEnd w:id="14"/>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29.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30.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i/>
          <w:iCs/>
          <w:color w:val="000080"/>
          <w:sz w:val="20"/>
          <w:szCs w:val="20"/>
        </w:rPr>
        <w:t xml:space="preserve">(*)  Soppresso dal Reg. </w:t>
      </w:r>
      <w:r w:rsidRPr="00465536">
        <w:rPr>
          <w:rFonts w:ascii="Times New Roman" w:eastAsia="Times New Roman" w:hAnsi="Times New Roman" w:cs="Times New Roman"/>
          <w:i/>
          <w:iCs/>
          <w:color w:val="000000"/>
          <w:sz w:val="20"/>
          <w:szCs w:val="20"/>
          <w:lang w:val="fr-FR"/>
        </w:rPr>
        <w:t xml:space="preserve">(CE) n. 2238/2004 (IAS 21).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15" w:name="INTERESSI_E_DIVIDENDI__"/>
      <w:r w:rsidRPr="00465536">
        <w:rPr>
          <w:rFonts w:ascii="Times New Roman" w:eastAsia="Times New Roman" w:hAnsi="Times New Roman" w:cs="Times New Roman"/>
          <w:color w:val="000000"/>
          <w:sz w:val="20"/>
          <w:szCs w:val="20"/>
        </w:rPr>
        <w:t>INTERESSI E DIVIDENDI</w:t>
      </w:r>
      <w:r w:rsidRPr="00465536">
        <w:rPr>
          <w:rFonts w:ascii="Times New Roman" w:eastAsia="Times New Roman" w:hAnsi="Times New Roman" w:cs="Times New Roman"/>
          <w:sz w:val="20"/>
          <w:szCs w:val="20"/>
        </w:rPr>
        <w:t xml:space="preserve"> </w:t>
      </w:r>
      <w:bookmarkEnd w:id="15"/>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31. </w:t>
      </w:r>
      <w:r w:rsidRPr="00465536">
        <w:rPr>
          <w:rFonts w:ascii="Times New Roman" w:eastAsia="Times New Roman" w:hAnsi="Times New Roman" w:cs="Times New Roman"/>
          <w:b/>
          <w:bCs/>
          <w:i/>
          <w:iCs/>
          <w:color w:val="000000"/>
          <w:sz w:val="20"/>
          <w:szCs w:val="20"/>
        </w:rPr>
        <w:t>I flussi finanziari derivanti dall’incasso e dal pagamento di interessi e dividendi devono essere indicati distintamente. Ciascuno deve essere classificato in modo coerente da esercizio a esercizio facendolo rientrare – a seconda del caso – nell’attività operativa, di investimento o finanziaria.</w:t>
      </w:r>
      <w:r w:rsidRPr="00465536">
        <w:rPr>
          <w:rFonts w:ascii="Times New Roman" w:eastAsia="Times New Roman" w:hAnsi="Times New Roman" w:cs="Times New Roman"/>
          <w:b/>
          <w:bCs/>
          <w:i/>
          <w:iCs/>
          <w:sz w:val="20"/>
          <w:szCs w:val="20"/>
        </w:rPr>
        <w:t xml:space="preserve">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32. </w:t>
      </w:r>
      <w:r w:rsidRPr="00465536">
        <w:rPr>
          <w:rFonts w:ascii="Times New Roman" w:eastAsia="Times New Roman" w:hAnsi="Times New Roman" w:cs="Times New Roman"/>
          <w:sz w:val="24"/>
          <w:szCs w:val="24"/>
        </w:rPr>
        <w:t xml:space="preserve">Il valore totale degli interessi pagati durante un esercizio deve essere indicato nel rendiconto finanziario sia che essi siano stati imputati come costi nell'utile (perdita) d'esercizio, sia che essi siano stati capitalizzati secondo quanto previsto dallo IAS 23 </w:t>
      </w:r>
      <w:r w:rsidRPr="00465536">
        <w:rPr>
          <w:rFonts w:ascii="Times New Roman" w:eastAsia="Times New Roman" w:hAnsi="Times New Roman" w:cs="Times New Roman"/>
          <w:i/>
          <w:iCs/>
          <w:sz w:val="24"/>
          <w:szCs w:val="24"/>
        </w:rPr>
        <w:t>Oneri finanziari</w:t>
      </w:r>
      <w:r w:rsidRPr="00465536">
        <w:rPr>
          <w:rFonts w:ascii="Times New Roman" w:eastAsia="Times New Roman" w:hAnsi="Times New Roman" w:cs="Times New Roman"/>
          <w:sz w:val="24"/>
          <w:szCs w:val="24"/>
        </w:rPr>
        <w:t>.»</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33. Per un istituto finanziario, gli interessi pagati e gli interessi e i dividendi ricevuti sono solitamente classificati come flussi finanziari operativi. Non c’è, comunque, accordo sulla classificazione di questi flussi finanziari per le altre imprese. Gli interessi pagati e gli interessi e i dividendi ricevuti possono essere classificati come flussi finanziari operativi perché essi rientrano nella determinazione dell’utile o della perdita dell’esercizio. In alternativa, gli interessi corrisposti e gli interessi e dividendi ricevuti possono essere classificati rispettivamente come flussi finanziari dall’attività finanziaria e di investimento, perché essi sono costi sostenuti per ottenere risorse finanziarie ovvero proventi da investimenti finanziari.</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34. I dividendi corrisposti possono essere classificati come flussi finanziari dell’attività finanziaria perché essi rappresentano un costo sostenuto per l’ottenimento di risorse finanziarie. In alternativa, i dividendi corrisposti possono essere classificati come un componente dei flussi finanziari dell’attività operativa allo scopo di aiutare gli utilizzatori a determinare la capacità di un’impresa a corrispondere dividendi dai flussi finanziari operativi.</w:t>
      </w:r>
    </w:p>
    <w:p w:rsid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16" w:name="IMPOSTE_SUL_REDDITO__"/>
      <w:r w:rsidRPr="00465536">
        <w:rPr>
          <w:rFonts w:ascii="Times New Roman" w:eastAsia="Times New Roman" w:hAnsi="Times New Roman" w:cs="Times New Roman"/>
          <w:color w:val="000000"/>
          <w:sz w:val="20"/>
          <w:szCs w:val="20"/>
        </w:rPr>
        <w:t>IMPOSTE SUL REDDITO</w:t>
      </w:r>
      <w:r w:rsidRPr="00465536">
        <w:rPr>
          <w:rFonts w:ascii="Times New Roman" w:eastAsia="Times New Roman" w:hAnsi="Times New Roman" w:cs="Times New Roman"/>
          <w:sz w:val="20"/>
          <w:szCs w:val="20"/>
        </w:rPr>
        <w:t xml:space="preserve"> </w:t>
      </w:r>
      <w:bookmarkEnd w:id="16"/>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 xml:space="preserve">35. </w:t>
      </w:r>
      <w:r w:rsidRPr="00465536">
        <w:rPr>
          <w:rFonts w:ascii="Times New Roman" w:eastAsia="Times New Roman" w:hAnsi="Times New Roman" w:cs="Times New Roman"/>
          <w:b/>
          <w:bCs/>
          <w:i/>
          <w:iCs/>
          <w:color w:val="000000"/>
          <w:sz w:val="20"/>
          <w:szCs w:val="20"/>
        </w:rPr>
        <w:t>I flussi finanziari correlati alle imposte sul reddito devono essere indicati distintamente e devono essere classificati come flussi finanziari dell’attività operativa a meno che essi possano essere specificatamente identificati con l’attività finanziaria e di investimento.</w:t>
      </w:r>
      <w:r w:rsidRPr="00465536">
        <w:rPr>
          <w:rFonts w:ascii="Times New Roman" w:eastAsia="Times New Roman" w:hAnsi="Times New Roman" w:cs="Times New Roman"/>
          <w:b/>
          <w:bCs/>
          <w:i/>
          <w:iCs/>
          <w:sz w:val="20"/>
          <w:szCs w:val="20"/>
        </w:rPr>
        <w:t xml:space="preserve">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lastRenderedPageBreak/>
        <w:t>36. Le imposte sul reddito derivano da operazioni che danno origine a flussi finanziari classificati nell’attività operativa, di investimento o finanziaria nel rendiconto finanziario. Mentre gli oneri fiscali possono essere facilmente identificabili con l’attività di investimento o finanziaria, i relativi flussi finanziari sono spesso difficilmente identificabili e possono manifestarsi in un esercizio differente dai flussi finanziari dell’operazione sottostante. Per questo motivo, le imposte corrisposte sono solitamente classificate come flussi finanziari dell’attività operativa. Tuttavia, quando è possibile identificare i flussi finanziari delle imposte con una singola operazione che dà origine ai flussi finanziari che sono fatti rientrare nell’attività di investimento o finanziaria, i flussi finanziari delle imposte devono essere fatti rientrare, a seconda del caso, nell’attività di investimento o finanziaria. Quando i flussi finanziari delle imposte sono attribuiti a più di una classe di attività, deve essere indicato l’importo complessivo delle imposte pagate.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17" w:name="PARTECIPAZIONI_IN_SOCIETÀ_CONTROLLATE,_C"/>
      <w:r w:rsidRPr="00465536">
        <w:rPr>
          <w:rFonts w:ascii="Times New Roman" w:eastAsia="Times New Roman" w:hAnsi="Times New Roman" w:cs="Times New Roman"/>
          <w:sz w:val="20"/>
          <w:szCs w:val="20"/>
        </w:rPr>
        <w:t xml:space="preserve">PARTECIPAZIONI IN SOCIETÀ CONTROLLATE, COLLEGATE E JOINT VENTURE </w:t>
      </w:r>
      <w:bookmarkEnd w:id="17"/>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37.  Quando la contabilizzazione di una partecipazione in una collegata o in una controllata è eseguita con il metodo del patrimonio netto o con quello del costo, l’investitore deve indicare nel rendiconto finanziario i soli flussi finanziari tra se stesso e la partecipata, quali dividendi e anticipazioni.</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38. Un’impresa che presenti la sua partecipazione in una impresa a controllo congiunto (vedere </w:t>
      </w:r>
      <w:hyperlink r:id="rId28" w:history="1">
        <w:r w:rsidRPr="00465536">
          <w:rPr>
            <w:rFonts w:ascii="Times New Roman" w:eastAsia="Times New Roman" w:hAnsi="Times New Roman" w:cs="Times New Roman"/>
            <w:color w:val="0000FF"/>
            <w:sz w:val="20"/>
            <w:u w:val="single"/>
          </w:rPr>
          <w:t>IAS 31,</w:t>
        </w:r>
      </w:hyperlink>
      <w:r w:rsidRPr="00465536">
        <w:rPr>
          <w:rFonts w:ascii="Times New Roman" w:eastAsia="Times New Roman" w:hAnsi="Times New Roman" w:cs="Times New Roman"/>
          <w:sz w:val="20"/>
          <w:szCs w:val="20"/>
        </w:rPr>
        <w:t xml:space="preserve"> </w:t>
      </w:r>
      <w:r w:rsidRPr="00465536">
        <w:rPr>
          <w:rFonts w:ascii="Times New Roman" w:eastAsia="Times New Roman" w:hAnsi="Times New Roman" w:cs="Times New Roman"/>
          <w:i/>
          <w:iCs/>
          <w:sz w:val="20"/>
          <w:szCs w:val="20"/>
        </w:rPr>
        <w:t>Informazioni contabili relative alle partecipazioni in joint venture</w:t>
      </w:r>
      <w:r w:rsidRPr="00465536">
        <w:rPr>
          <w:rFonts w:ascii="Times New Roman" w:eastAsia="Times New Roman" w:hAnsi="Times New Roman" w:cs="Times New Roman"/>
          <w:sz w:val="20"/>
          <w:szCs w:val="20"/>
        </w:rPr>
        <w:t>) utilizzando il consolidamento proporzionale, deve includere nel prospetto dei flussi finanziari consolidati la quota proporzionale dei flussi finanziari dell’impresa a controllo congiunto. Un’impresa che presenti una tale partecipazione utilizzando il metodo del patrimonio netto deve includere nel suo rendiconto finanziario i flussi finanziari che si riferiscono alla sua partecipazione nell’impresa a controllo congiunto e distribuzioni e altri pagamenti o incassi tra se stessa e la joint venture.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18" w:name="ACQUISIZIONI_E_DISMISSIONI_DI_CONTROLLAT"/>
      <w:r w:rsidRPr="00465536">
        <w:rPr>
          <w:rFonts w:ascii="Times New Roman" w:eastAsia="Times New Roman" w:hAnsi="Times New Roman" w:cs="Times New Roman"/>
          <w:color w:val="000000"/>
          <w:sz w:val="20"/>
          <w:szCs w:val="20"/>
        </w:rPr>
        <w:t xml:space="preserve">VARIAZIONI NELL'INTERESSANZA PARTECIPATIVA NELLE CONTROLLATE E IN ALTRE AZIENDE </w:t>
      </w:r>
      <w:bookmarkEnd w:id="18"/>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39. I flussi finanziari complessivi derivanti dall'ottenimento o dalla perdita del controllo di controllate o di altre aziende devono essere presentati distintamente e classificati come attività di investimento. </w:t>
      </w:r>
      <w:r w:rsidRPr="00465536">
        <w:rPr>
          <w:rFonts w:ascii="Times New Roman" w:eastAsia="Times New Roman" w:hAnsi="Times New Roman" w:cs="Times New Roman"/>
          <w:b/>
          <w:bCs/>
          <w:i/>
          <w:iCs/>
          <w:sz w:val="20"/>
          <w:szCs w:val="20"/>
        </w:rPr>
        <w:t>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40. Un'entità deve indicare complessivamente, con riferimento all'ottenimento e alla perdita del controllo di controllate o di altre aziende verificatisi nel corso dell'esercizio, ciascuna delle seguenti informazioni: </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(a) i corrispettivi totali pagati o ricevuti;</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(b) la parte dei corrispettivi consistente in disponibilità liquide e mezzi equivalenti; </w:t>
      </w:r>
      <w:r w:rsidRPr="00465536">
        <w:rPr>
          <w:rFonts w:ascii="Times New Roman" w:eastAsia="Times New Roman" w:hAnsi="Times New Roman" w:cs="Times New Roman"/>
          <w:b/>
          <w:bCs/>
          <w:i/>
          <w:iCs/>
          <w:sz w:val="20"/>
          <w:szCs w:val="20"/>
        </w:rPr>
        <w:t>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(c) l'ammontare delle disponibilità liquide e dei mezzi equivalenti delle controllate o altre aziende di cui viene ottenuto o perduto il controllo; e </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(d) l'ammontare delle attività e delle passività diverse dalle disponibilità liquide o mezzi equivalenti delle controllate o di altre aziende di cui viene ottenuto o perduto il controllo, riferito a ciascuna categoria principale.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41. La presentazione distinta degli effetti dei flussi finanziari derivanti dall'ottenimento o dalla perdita del controllo di controllate o di altre aziende in un'unica voce, insieme all'informazione distinta dell'ammontare delle attività e delle passività acquistate o dismesse, aiuta a distinguere tali flussi finanziari dai flussi finanziari derivanti dalle altre attività operative, di investimento e di finanziamento. Gli effetti della perdita del controllo sui flussi finanziari non possono essere dedotti da quelli derivanti dall'ottenimento del controllo.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42. Il valore complessivo degli incassi o dei pagamenti effettuati quali corrispettivi per l'ottenimento o la perdita del controllo di controllate o di altre aziende, è presentato nel rendiconto finanziario al netto delle disponibilità liquide e dei mezzi equivalenti acquisiti o dismessi come parte di tali operazioni, eventi o cambiamenti di circostanze.</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42A I flussi finanziari derivanti da variazioni delle interessenze partecipative in una controllata che non comportano la perdita del controllo devono essere classificati come flussi finanziari derivanti da attività di finanziamento.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42B Le variazioni delle interessenze partecipative in una controllata che non comportano la perdita del controllo, come nel caso di acquisto o vendita successivi da parte della controllante di strumenti rappresentativi di capitale della controllata, </w:t>
      </w:r>
      <w:r w:rsidRPr="00465536">
        <w:rPr>
          <w:rFonts w:ascii="Times New Roman" w:eastAsia="Times New Roman" w:hAnsi="Times New Roman" w:cs="Times New Roman"/>
          <w:sz w:val="20"/>
          <w:szCs w:val="20"/>
        </w:rPr>
        <w:lastRenderedPageBreak/>
        <w:t xml:space="preserve">sono contabilizzate come operazioni sul capitale [vedere IAS 27 Bilancio consolidato e separato (modificato dall’International Accounting </w:t>
      </w:r>
      <w:proofErr w:type="spellStart"/>
      <w:r w:rsidRPr="00465536">
        <w:rPr>
          <w:rFonts w:ascii="Times New Roman" w:eastAsia="Times New Roman" w:hAnsi="Times New Roman" w:cs="Times New Roman"/>
          <w:sz w:val="20"/>
          <w:szCs w:val="20"/>
        </w:rPr>
        <w:t>Standards</w:t>
      </w:r>
      <w:proofErr w:type="spellEnd"/>
      <w:r w:rsidRPr="00465536">
        <w:rPr>
          <w:rFonts w:ascii="Times New Roman" w:eastAsia="Times New Roman" w:hAnsi="Times New Roman" w:cs="Times New Roman"/>
          <w:sz w:val="20"/>
          <w:szCs w:val="20"/>
        </w:rPr>
        <w:t xml:space="preserve"> Board nel 2008)]. Di conseguenza, i flussi finanziari risultanti sono classificati allo stesso modo delle altre transazioni con soci descritte al paragrafo 17.</w:t>
      </w:r>
      <w:r w:rsidRPr="00465536">
        <w:rPr>
          <w:rFonts w:ascii="Times New Roman" w:eastAsia="Times New Roman" w:hAnsi="Times New Roman" w:cs="Times New Roman"/>
          <w:sz w:val="20"/>
          <w:szCs w:val="20"/>
        </w:rPr>
        <w:br/>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19" w:name="OPERAZIONI_NON_MONETARIE__"/>
      <w:r w:rsidRPr="00465536">
        <w:rPr>
          <w:rFonts w:ascii="Times New Roman" w:eastAsia="Times New Roman" w:hAnsi="Times New Roman" w:cs="Times New Roman"/>
          <w:color w:val="000000"/>
          <w:sz w:val="20"/>
          <w:szCs w:val="20"/>
        </w:rPr>
        <w:t>OPERAZIONI NON MONETARIE</w:t>
      </w:r>
      <w:r w:rsidRPr="00465536">
        <w:rPr>
          <w:rFonts w:ascii="Times New Roman" w:eastAsia="Times New Roman" w:hAnsi="Times New Roman" w:cs="Times New Roman"/>
          <w:sz w:val="20"/>
          <w:szCs w:val="20"/>
        </w:rPr>
        <w:t xml:space="preserve"> </w:t>
      </w:r>
      <w:bookmarkEnd w:id="19"/>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 xml:space="preserve">43.   </w:t>
      </w:r>
      <w:r w:rsidRPr="00465536">
        <w:rPr>
          <w:rFonts w:ascii="Times New Roman" w:eastAsia="Times New Roman" w:hAnsi="Times New Roman" w:cs="Times New Roman"/>
          <w:b/>
          <w:bCs/>
          <w:i/>
          <w:iCs/>
          <w:color w:val="000000"/>
          <w:sz w:val="20"/>
          <w:szCs w:val="20"/>
        </w:rPr>
        <w:t>Le operazioni di investimento e finanziarie che non richiedono l’impiego di disponibilità liquide o mezzi equivalenti devono essere escluse dal rendiconto finanziario. Tali operazioni devono essere indicate altrove nel bilancio in modo da poter fornire tutte le informazioni significative su queste attività di investimento e finanziarie.</w:t>
      </w:r>
      <w:r w:rsidRPr="00465536">
        <w:rPr>
          <w:rFonts w:ascii="Times New Roman" w:eastAsia="Times New Roman" w:hAnsi="Times New Roman" w:cs="Times New Roman"/>
          <w:b/>
          <w:bCs/>
          <w:i/>
          <w:iCs/>
          <w:sz w:val="20"/>
          <w:szCs w:val="20"/>
        </w:rPr>
        <w:t xml:space="preserve">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 xml:space="preserve">44.   Molte attività di investimento e finanziarie non hanno un impatto diretto sui flussi finanziari correnti anche se esse influiscono sul capitale e sulla struttura dell’attivo di un’impresa. L’esclusione delle operazioni non monetarie dal rendiconto finanziario è coerente con l’obiettivo del rendiconto finanziario poiché queste operazioni non comportano flussi finanziari nell’esercizio corrente. Esempi di operazioni non monetarie sono: </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(a) l’acquisizione di attività contraendo debiti o per mezzo di operazioni di leasing finanziario;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(b) l’acquisizione di un’impresa per mezzo di un’emissione di capitale; 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(c) la conversione di debiti in capitale.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20" w:name="COMPONENTI_DELLE_DISPONIBILITÀ_LIQUIDE_E"/>
      <w:r w:rsidRPr="00465536">
        <w:rPr>
          <w:rFonts w:ascii="Times New Roman" w:eastAsia="Times New Roman" w:hAnsi="Times New Roman" w:cs="Times New Roman"/>
          <w:color w:val="000000"/>
          <w:sz w:val="20"/>
          <w:szCs w:val="20"/>
        </w:rPr>
        <w:t>COMPONENTI DELLE DISPONIBILITÀ LIQUIDE E MEZZI EQUIVALENTI</w:t>
      </w:r>
      <w:r w:rsidRPr="00465536">
        <w:rPr>
          <w:rFonts w:ascii="Times New Roman" w:eastAsia="Times New Roman" w:hAnsi="Times New Roman" w:cs="Times New Roman"/>
          <w:sz w:val="20"/>
          <w:szCs w:val="20"/>
        </w:rPr>
        <w:t xml:space="preserve"> </w:t>
      </w:r>
      <w:bookmarkEnd w:id="20"/>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45. </w:t>
      </w:r>
      <w:r w:rsidRPr="00465536">
        <w:rPr>
          <w:rFonts w:ascii="Times New Roman" w:eastAsia="Times New Roman" w:hAnsi="Times New Roman" w:cs="Times New Roman"/>
          <w:b/>
          <w:bCs/>
          <w:i/>
          <w:iCs/>
          <w:color w:val="000000"/>
          <w:sz w:val="20"/>
          <w:szCs w:val="20"/>
        </w:rPr>
        <w:t>L’impresa deve indicare i componenti delle disponibilità liquide e dei mezzi equivalenti e deve presentare una riconciliazione dei valori del suo rendiconto finanziario con le voci equivalenti esposte nello stato patrimoniale.</w:t>
      </w:r>
      <w:r w:rsidRPr="00465536">
        <w:rPr>
          <w:rFonts w:ascii="Times New Roman" w:eastAsia="Times New Roman" w:hAnsi="Times New Roman" w:cs="Times New Roman"/>
          <w:b/>
          <w:bCs/>
          <w:i/>
          <w:iCs/>
          <w:sz w:val="20"/>
          <w:szCs w:val="20"/>
        </w:rPr>
        <w:t xml:space="preserve">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46. Considerata l’elevata quantità delle procedure di gestione della liquidità e degli strumenti bancari utilizzati nel mondo e allo scopo di uniformarsi allo IAS 1, </w:t>
      </w:r>
      <w:r w:rsidRPr="00465536">
        <w:rPr>
          <w:rFonts w:ascii="Times New Roman" w:eastAsia="Times New Roman" w:hAnsi="Times New Roman" w:cs="Times New Roman"/>
          <w:i/>
          <w:iCs/>
          <w:sz w:val="20"/>
          <w:szCs w:val="20"/>
        </w:rPr>
        <w:t>Presentazione del bilancio</w:t>
      </w:r>
      <w:r w:rsidRPr="00465536">
        <w:rPr>
          <w:rFonts w:ascii="Times New Roman" w:eastAsia="Times New Roman" w:hAnsi="Times New Roman" w:cs="Times New Roman"/>
          <w:sz w:val="20"/>
          <w:szCs w:val="20"/>
        </w:rPr>
        <w:t>, l’impresa deve indicare il principio adottato nel determinare la composizione delle disponibilità liquide e mezzi equivalenti.</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 xml:space="preserve">47. L’effetto di qualsiasi cambiamento nella determinazione delle disponibilità liquide e dei mezzi equivalenti, quale una variazione nella classificazione degli strumenti finanziari in precedenza considerati parte del portafoglio investimenti finanziari di un’impresa, deve essere esposto secondo quanto previsto dallo IAS 8, </w:t>
      </w:r>
      <w:r w:rsidRPr="00465536">
        <w:rPr>
          <w:rFonts w:ascii="Times New Roman" w:eastAsia="Times New Roman" w:hAnsi="Times New Roman" w:cs="Times New Roman"/>
          <w:i/>
          <w:iCs/>
          <w:sz w:val="20"/>
          <w:szCs w:val="20"/>
        </w:rPr>
        <w:t>Utile (perdita) d’esercizio, errori determinanti e cambiamenti di principi contabili</w:t>
      </w:r>
      <w:r w:rsidRPr="00465536">
        <w:rPr>
          <w:rFonts w:ascii="Times New Roman" w:eastAsia="Times New Roman" w:hAnsi="Times New Roman" w:cs="Times New Roman"/>
          <w:sz w:val="20"/>
          <w:szCs w:val="20"/>
        </w:rPr>
        <w:t>.</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21" w:name="ALTRE_INFORMAZIONI_INTEGRATIVE__"/>
      <w:r w:rsidRPr="00465536">
        <w:rPr>
          <w:rFonts w:ascii="Times New Roman" w:eastAsia="Times New Roman" w:hAnsi="Times New Roman" w:cs="Times New Roman"/>
          <w:color w:val="000000"/>
          <w:sz w:val="20"/>
          <w:szCs w:val="20"/>
        </w:rPr>
        <w:t>ALTRE INFORMAZIONI INTEGRATIVE</w:t>
      </w:r>
      <w:r w:rsidRPr="00465536">
        <w:rPr>
          <w:rFonts w:ascii="Times New Roman" w:eastAsia="Times New Roman" w:hAnsi="Times New Roman" w:cs="Times New Roman"/>
          <w:sz w:val="20"/>
          <w:szCs w:val="20"/>
        </w:rPr>
        <w:t xml:space="preserve"> </w:t>
      </w:r>
      <w:bookmarkEnd w:id="21"/>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 xml:space="preserve">48. </w:t>
      </w:r>
      <w:r w:rsidRPr="00465536">
        <w:rPr>
          <w:rFonts w:ascii="Times New Roman" w:eastAsia="Times New Roman" w:hAnsi="Times New Roman" w:cs="Times New Roman"/>
          <w:b/>
          <w:bCs/>
          <w:i/>
          <w:iCs/>
          <w:color w:val="000000"/>
          <w:sz w:val="20"/>
          <w:szCs w:val="20"/>
        </w:rPr>
        <w:t>L’impresa deve indicare, con un commento della direzione aziendale, l’ammontare dei saldi significativi di disponibilità liquide e mezzi equivalenti posseduti dall’impresa ma non utilizzabili liberamente dal gruppo.</w:t>
      </w:r>
      <w:r w:rsidRPr="00465536">
        <w:rPr>
          <w:rFonts w:ascii="Times New Roman" w:eastAsia="Times New Roman" w:hAnsi="Times New Roman" w:cs="Times New Roman"/>
          <w:b/>
          <w:bCs/>
          <w:i/>
          <w:iCs/>
          <w:sz w:val="20"/>
          <w:szCs w:val="20"/>
        </w:rPr>
        <w:t xml:space="preserve"> </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49. Esistono circostanze nelle quali saldi di disponibilità liquide e mezzi equivalenti posseduti da un’impresa non sono utilizzabili liberamente dal gruppo, quali i saldi di disponibilità liquide e mezzi equivalenti posseduti da una controllata che opera in un Paese dove controlli valutari o altre restrizioni legali rendono i saldi non utilizzabili liberamente da parte della controllante o di altre controllate.</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80"/>
          <w:sz w:val="20"/>
          <w:szCs w:val="20"/>
        </w:rPr>
        <w:t>50. Informazioni aggiuntive possono essere significative per gli utilizzatori ai fini della comprensione della posizione finanziaria e del grado di liquidità di un’impresa. L’indicazione di tali informazioni, insieme con una relazione della direzione aziendale, è incoraggiata e può includere:</w:t>
      </w:r>
    </w:p>
    <w:p w:rsidR="00465536" w:rsidRPr="00465536" w:rsidRDefault="00465536" w:rsidP="00465536">
      <w:pPr>
        <w:spacing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80"/>
          <w:sz w:val="20"/>
          <w:szCs w:val="20"/>
        </w:rPr>
        <w:t>(a) l’importo delle aperture di credito che possono essere disponibili per future attività operative e per estinguere impegni di capitale, indicando qualsiasi restrizione all’utilizzo di queste aperture di credito;</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80"/>
          <w:sz w:val="20"/>
          <w:szCs w:val="20"/>
        </w:rPr>
        <w:t>(b) gli importi complessivi dei flussi finanziari di ciascuna delle gestioni operative, di investimento e finanziaria relativi a partecipazioni in joint venture presentati usando il consolidamento proporzionale;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80"/>
          <w:sz w:val="20"/>
          <w:szCs w:val="20"/>
        </w:rPr>
        <w:t>(c) l’importo complessivo dei flussi finanziari che rappresentano incrementi della capacità operativa separatamente dai flussi finanziari richiesti per mantenere la capacità operativa stessa; e</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80"/>
          <w:sz w:val="20"/>
          <w:szCs w:val="20"/>
        </w:rPr>
        <w:lastRenderedPageBreak/>
        <w:t>(d) l’importo dei flussi finanziari derivanti dall’attività operativa, di investimento e finanziaria per ciascun settore oggetto di informativa (</w:t>
      </w:r>
      <w:r w:rsidRPr="00465536">
        <w:rPr>
          <w:rFonts w:ascii="Times New Roman" w:eastAsia="Times New Roman" w:hAnsi="Times New Roman" w:cs="Times New Roman"/>
          <w:i/>
          <w:iCs/>
          <w:color w:val="000080"/>
          <w:sz w:val="20"/>
          <w:szCs w:val="20"/>
        </w:rPr>
        <w:t>IFRS 8 Settori operativi</w:t>
      </w:r>
      <w:r w:rsidRPr="00465536">
        <w:rPr>
          <w:rFonts w:ascii="Times New Roman" w:eastAsia="Times New Roman" w:hAnsi="Times New Roman" w:cs="Times New Roman"/>
          <w:color w:val="000080"/>
          <w:sz w:val="20"/>
          <w:szCs w:val="20"/>
        </w:rPr>
        <w:t>).</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51. L’indicazione distinta dei flussi finanziari che rappresentano incrementi della capacità operativa e i flussi finanziari richiesti per mantenere la capacità operativa stessa è utile per consentire agli utilizzatori di giudicare se l’impresa sta investendo adeguatamente al fine di conservare la sua capacità operativa. Un’impresa che non investa adeguatamente nel mantenimento della sua capacità operativa può pregiudicare la redditività futura per privilegiare la liquidità corrente e le distribuzioni agli azionisti.</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sz w:val="20"/>
          <w:szCs w:val="20"/>
        </w:rPr>
        <w:t>52. L’indicazione dei flussi finanziari per settori permette agli utilizzatori di ottenere una migliore conoscenza delle relazioni tra i flussi finanziari della gestione nel suo complesso e quelli dei suoi settori e della disponibilità e variabilità dei flussi finanziari dei singoli settori.</w: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bookmarkStart w:id="22" w:name="DATA_DI_ENTRATA_IN_VIGORE__"/>
      <w:r w:rsidRPr="00465536">
        <w:rPr>
          <w:rFonts w:ascii="Times New Roman" w:eastAsia="Times New Roman" w:hAnsi="Times New Roman" w:cs="Times New Roman"/>
          <w:color w:val="000000"/>
          <w:sz w:val="20"/>
          <w:szCs w:val="20"/>
        </w:rPr>
        <w:t>DATA DI ENTRATA IN VIGORE</w:t>
      </w:r>
      <w:r w:rsidRPr="00465536">
        <w:rPr>
          <w:rFonts w:ascii="Times New Roman" w:eastAsia="Times New Roman" w:hAnsi="Times New Roman" w:cs="Times New Roman"/>
          <w:sz w:val="20"/>
          <w:szCs w:val="20"/>
        </w:rPr>
        <w:t xml:space="preserve"> </w:t>
      </w:r>
      <w:bookmarkEnd w:id="22"/>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color w:val="000000"/>
          <w:sz w:val="20"/>
          <w:szCs w:val="20"/>
        </w:rPr>
        <w:t xml:space="preserve">53. </w:t>
      </w:r>
      <w:r w:rsidRPr="00465536">
        <w:rPr>
          <w:rFonts w:ascii="Times New Roman" w:eastAsia="Times New Roman" w:hAnsi="Times New Roman" w:cs="Times New Roman"/>
          <w:b/>
          <w:bCs/>
          <w:i/>
          <w:iCs/>
          <w:color w:val="000000"/>
          <w:sz w:val="20"/>
          <w:szCs w:val="20"/>
        </w:rPr>
        <w:t>Il presente Principio contabile internazionale entra in vigore a partire dai bilanci degli esercizi con inizio dal 1° gennaio 1994 o da data successiva.</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b/>
          <w:bCs/>
          <w:i/>
          <w:iCs/>
          <w:sz w:val="20"/>
          <w:szCs w:val="20"/>
        </w:rPr>
        <w:t xml:space="preserve">54 Lo IAS 27 (modificato dall’International Accounting </w:t>
      </w:r>
      <w:proofErr w:type="spellStart"/>
      <w:r w:rsidRPr="00465536">
        <w:rPr>
          <w:rFonts w:ascii="Times New Roman" w:eastAsia="Times New Roman" w:hAnsi="Times New Roman" w:cs="Times New Roman"/>
          <w:b/>
          <w:bCs/>
          <w:i/>
          <w:iCs/>
          <w:sz w:val="20"/>
          <w:szCs w:val="20"/>
        </w:rPr>
        <w:t>Standards</w:t>
      </w:r>
      <w:proofErr w:type="spellEnd"/>
      <w:r w:rsidRPr="00465536">
        <w:rPr>
          <w:rFonts w:ascii="Times New Roman" w:eastAsia="Times New Roman" w:hAnsi="Times New Roman" w:cs="Times New Roman"/>
          <w:b/>
          <w:bCs/>
          <w:i/>
          <w:iCs/>
          <w:sz w:val="20"/>
          <w:szCs w:val="20"/>
        </w:rPr>
        <w:t xml:space="preserve"> Board nel 2008) ha modificato i paragrafi 39-42 e aggiunto i paragrafi 42A e 42B. L'entità deve applicare tali modifiche a partire dai bilanci degli esercizi che hanno inizio dal 1° luglio 2009 o in data successiva. Qualora un'entità applichi lo IAS 27 (modificato nel 2008) a partire da un esercizio precedente, tali modifiche devono essere applicate a partire da quell'esercizio precedente. Le modifiche devono essere applicate retroattivamente.</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b/>
          <w:bCs/>
          <w:i/>
          <w:iCs/>
          <w:sz w:val="20"/>
          <w:szCs w:val="20"/>
        </w:rPr>
        <w:t>55 Il paragrafo 14 è stato modificato dai Miglioramenti agli IFRS pubblicati nel maggio 2008. L’entità deve applicare tale modifica a partire dagli esercizi che hanno inizio dal 1° gennaio 2009. È consentita l’applicazione anticipata. Se l’entità applica la modifica in un periodo precedente, deve indicare tale fatto ed applicare contestualmente il paragrafo 68A dello IAS 16.</w:t>
      </w:r>
    </w:p>
    <w:p w:rsidR="00465536" w:rsidRPr="00465536" w:rsidRDefault="00465536" w:rsidP="00465536">
      <w:pPr>
        <w:spacing w:before="100" w:beforeAutospacing="1" w:after="100" w:afterAutospacing="1" w:line="240" w:lineRule="auto"/>
        <w:ind w:right="-1" w:hanging="225"/>
        <w:jc w:val="both"/>
        <w:rPr>
          <w:rFonts w:ascii="Times New Roman" w:eastAsia="Times New Roman" w:hAnsi="Times New Roman" w:cs="Times New Roman"/>
          <w:sz w:val="20"/>
          <w:szCs w:val="20"/>
        </w:rPr>
      </w:pPr>
      <w:r w:rsidRPr="00465536">
        <w:rPr>
          <w:rFonts w:ascii="Times New Roman" w:eastAsia="Times New Roman" w:hAnsi="Times New Roman" w:cs="Times New Roman"/>
          <w:b/>
          <w:bCs/>
          <w:i/>
          <w:iCs/>
          <w:sz w:val="20"/>
          <w:szCs w:val="20"/>
        </w:rPr>
        <w:t xml:space="preserve">56 Il paragrafo 16 è stato modificato dai Miglioramenti agli IFRS pubblicati nell’aprile 2009. L'entità deve applicare tale modifica a partire dai bilanci degli esercizi che hanno inizio dal 1°gennaio 2010 o da data successiva. È consentita un’applicazione anticipata. Se l’entità applica la modifica a partire da un esercizio precedente, tale fatto deve essere indicato. </w:t>
      </w:r>
    </w:p>
    <w:p w:rsidR="00465536" w:rsidRPr="00465536" w:rsidRDefault="00796D22" w:rsidP="00465536">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a0a0a0" stroked="f"/>
        </w:pict>
      </w:r>
    </w:p>
    <w:p w:rsidR="00465536" w:rsidRPr="00465536" w:rsidRDefault="00465536" w:rsidP="00465536">
      <w:pPr>
        <w:spacing w:before="100" w:beforeAutospacing="1" w:after="100" w:afterAutospacing="1" w:line="240" w:lineRule="auto"/>
        <w:ind w:right="-1"/>
        <w:jc w:val="both"/>
        <w:rPr>
          <w:rFonts w:ascii="Times New Roman" w:eastAsia="Times New Roman" w:hAnsi="Times New Roman" w:cs="Times New Roman"/>
          <w:sz w:val="20"/>
          <w:szCs w:val="20"/>
        </w:rPr>
      </w:pPr>
      <w:r w:rsidRPr="00465536">
        <w:rPr>
          <w:rFonts w:ascii="Times New Roman" w:eastAsia="Times New Roman" w:hAnsi="Times New Roman" w:cs="Times New Roman"/>
          <w:b/>
          <w:bCs/>
          <w:sz w:val="20"/>
          <w:szCs w:val="20"/>
        </w:rPr>
        <w:t>Articoli modificati</w:t>
      </w:r>
    </w:p>
    <w:p w:rsidR="00465536" w:rsidRPr="00465536" w:rsidRDefault="00465536" w:rsidP="00465536">
      <w:pPr>
        <w:spacing w:before="100" w:beforeAutospacing="1" w:after="100" w:afterAutospacing="1" w:line="240" w:lineRule="auto"/>
        <w:ind w:right="-1" w:hanging="225"/>
        <w:jc w:val="both"/>
        <w:rPr>
          <w:rFonts w:ascii="Arial" w:eastAsia="Times New Roman" w:hAnsi="Arial" w:cs="Arial"/>
          <w:sz w:val="20"/>
          <w:szCs w:val="20"/>
        </w:rPr>
      </w:pPr>
      <w:r w:rsidRPr="00465536">
        <w:rPr>
          <w:rFonts w:ascii="Arial" w:eastAsia="Times New Roman" w:hAnsi="Arial" w:cs="Arial"/>
          <w:sz w:val="20"/>
          <w:szCs w:val="20"/>
        </w:rPr>
        <w:t>50. Informazioni aggiuntive possono essere significative per gli utilizzatori ai fini della comprensione della posizione finanziaria e del grado di liquidità di un’impresa. L’indicazione di tali informazioni, insieme con una relazione della direzione aziendale, è incoraggiata e può includere:</w:t>
      </w:r>
    </w:p>
    <w:p w:rsidR="00465536" w:rsidRPr="00465536" w:rsidRDefault="00465536" w:rsidP="00465536">
      <w:pPr>
        <w:spacing w:before="100" w:beforeAutospacing="1" w:after="100" w:afterAutospacing="1" w:line="240" w:lineRule="auto"/>
        <w:ind w:right="-1"/>
        <w:jc w:val="both"/>
        <w:rPr>
          <w:rFonts w:ascii="Arial" w:eastAsia="Times New Roman" w:hAnsi="Arial" w:cs="Arial"/>
          <w:sz w:val="20"/>
          <w:szCs w:val="20"/>
        </w:rPr>
      </w:pPr>
      <w:r w:rsidRPr="00465536">
        <w:rPr>
          <w:rFonts w:ascii="Arial" w:eastAsia="Times New Roman" w:hAnsi="Arial" w:cs="Arial"/>
          <w:sz w:val="20"/>
          <w:szCs w:val="20"/>
        </w:rPr>
        <w:t>(a) l’importo delle aperture di credito che possono essere disponibili per future attività operative e per estinguere impegni di capitale, indicando qualsiasi restrizione all’utilizzo di queste aperture di credito;</w:t>
      </w:r>
    </w:p>
    <w:p w:rsidR="00465536" w:rsidRPr="00465536" w:rsidRDefault="00465536" w:rsidP="00465536">
      <w:pPr>
        <w:spacing w:before="100" w:beforeAutospacing="1" w:after="100" w:afterAutospacing="1" w:line="240" w:lineRule="auto"/>
        <w:ind w:right="-1"/>
        <w:jc w:val="both"/>
        <w:rPr>
          <w:rFonts w:ascii="Arial" w:eastAsia="Times New Roman" w:hAnsi="Arial" w:cs="Arial"/>
          <w:sz w:val="20"/>
          <w:szCs w:val="20"/>
        </w:rPr>
      </w:pPr>
      <w:r w:rsidRPr="00465536">
        <w:rPr>
          <w:rFonts w:ascii="Arial" w:eastAsia="Times New Roman" w:hAnsi="Arial" w:cs="Arial"/>
          <w:sz w:val="20"/>
          <w:szCs w:val="20"/>
        </w:rPr>
        <w:t>(b) gli importi complessivi dei flussi finanziari di ciascuna delle gestioni operative, di investimento e finanziaria relativi a partecipazioni in joint venture presentati usando il consolidamento proporzionale;</w:t>
      </w:r>
    </w:p>
    <w:p w:rsidR="00465536" w:rsidRPr="00465536" w:rsidRDefault="00465536" w:rsidP="00465536">
      <w:pPr>
        <w:spacing w:before="100" w:beforeAutospacing="1" w:after="100" w:afterAutospacing="1" w:line="240" w:lineRule="auto"/>
        <w:ind w:right="-1"/>
        <w:jc w:val="both"/>
        <w:rPr>
          <w:rFonts w:ascii="Arial" w:eastAsia="Times New Roman" w:hAnsi="Arial" w:cs="Arial"/>
          <w:sz w:val="20"/>
          <w:szCs w:val="20"/>
        </w:rPr>
      </w:pPr>
      <w:r w:rsidRPr="00465536">
        <w:rPr>
          <w:rFonts w:ascii="Arial" w:eastAsia="Times New Roman" w:hAnsi="Arial" w:cs="Arial"/>
          <w:sz w:val="20"/>
          <w:szCs w:val="20"/>
        </w:rPr>
        <w:t>(c) l’importo complessivo dei flussi finanziari che rappresentano incrementi della capacità operativa separatamente dai flussi finanziari richiesti per mantenere la capacità operativa stessa; e</w:t>
      </w:r>
    </w:p>
    <w:p w:rsidR="001D69F1" w:rsidRDefault="00465536" w:rsidP="00465536">
      <w:pPr>
        <w:spacing w:before="100" w:beforeAutospacing="1" w:after="100" w:afterAutospacing="1" w:line="240" w:lineRule="auto"/>
        <w:ind w:right="-1"/>
        <w:jc w:val="both"/>
      </w:pPr>
      <w:r w:rsidRPr="00465536">
        <w:rPr>
          <w:rFonts w:ascii="Arial" w:eastAsia="Times New Roman" w:hAnsi="Arial" w:cs="Arial"/>
          <w:sz w:val="20"/>
          <w:szCs w:val="20"/>
        </w:rPr>
        <w:t>(d) l’importo dei flussi finanziari derivanti dall’attività operativa, di investimen</w:t>
      </w:r>
      <w:r w:rsidRPr="00465536">
        <w:rPr>
          <w:rFonts w:ascii="Arial" w:eastAsia="Times New Roman" w:hAnsi="Arial" w:cs="Arial"/>
          <w:sz w:val="20"/>
          <w:szCs w:val="20"/>
        </w:rPr>
        <w:softHyphen/>
        <w:t xml:space="preserve">to e finanziaria per ciascun settore di attività e area geografica presentati (vedere </w:t>
      </w:r>
      <w:hyperlink r:id="rId29" w:history="1">
        <w:r w:rsidRPr="00465536">
          <w:rPr>
            <w:rFonts w:ascii="Arial" w:eastAsia="Times New Roman" w:hAnsi="Arial" w:cs="Arial"/>
            <w:color w:val="0000FF"/>
            <w:sz w:val="20"/>
            <w:u w:val="single"/>
          </w:rPr>
          <w:t>IAS 14,</w:t>
        </w:r>
      </w:hyperlink>
      <w:r w:rsidRPr="00465536">
        <w:rPr>
          <w:rFonts w:ascii="Arial" w:eastAsia="Times New Roman" w:hAnsi="Arial" w:cs="Arial"/>
          <w:sz w:val="20"/>
          <w:szCs w:val="20"/>
        </w:rPr>
        <w:t xml:space="preserve"> Informativa di settore).</w:t>
      </w:r>
    </w:p>
    <w:sectPr w:rsidR="001D69F1" w:rsidSect="001D69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36"/>
    <w:rsid w:val="001D69F1"/>
    <w:rsid w:val="00465536"/>
    <w:rsid w:val="00796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54">
    <w:name w:val="cm154"/>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465536"/>
    <w:rPr>
      <w:color w:val="0000FF"/>
      <w:u w:val="single"/>
    </w:rPr>
  </w:style>
  <w:style w:type="paragraph" w:customStyle="1" w:styleId="cm150">
    <w:name w:val="cm150"/>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51">
    <w:name w:val="cm151"/>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55">
    <w:name w:val="cm155"/>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4">
    <w:name w:val="cm14"/>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9">
    <w:name w:val="cm19"/>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54">
    <w:name w:val="cm154"/>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465536"/>
    <w:rPr>
      <w:color w:val="0000FF"/>
      <w:u w:val="single"/>
    </w:rPr>
  </w:style>
  <w:style w:type="paragraph" w:customStyle="1" w:styleId="cm150">
    <w:name w:val="cm150"/>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51">
    <w:name w:val="cm151"/>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55">
    <w:name w:val="cm155"/>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4">
    <w:name w:val="cm14"/>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9">
    <w:name w:val="cm19"/>
    <w:basedOn w:val="Normale"/>
    <w:rsid w:val="00465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07132">
      <w:bodyDiv w:val="1"/>
      <w:marLeft w:val="0"/>
      <w:marRight w:val="0"/>
      <w:marTop w:val="0"/>
      <w:marBottom w:val="0"/>
      <w:divBdr>
        <w:top w:val="none" w:sz="0" w:space="0" w:color="auto"/>
        <w:left w:val="none" w:sz="0" w:space="0" w:color="auto"/>
        <w:bottom w:val="none" w:sz="0" w:space="0" w:color="auto"/>
        <w:right w:val="none" w:sz="0" w:space="0" w:color="auto"/>
      </w:divBdr>
      <w:divsChild>
        <w:div w:id="1800104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99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8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37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23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667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982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319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108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16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16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04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84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9314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orionline.it/IAS_IFRS/IAS_7.htm" TargetMode="External"/><Relationship Id="rId13" Type="http://schemas.openxmlformats.org/officeDocument/2006/relationships/hyperlink" Target="http://www.revisorionline.it/IAS_IFRS/IAS_7.htm" TargetMode="External"/><Relationship Id="rId18" Type="http://schemas.openxmlformats.org/officeDocument/2006/relationships/hyperlink" Target="http://www.revisorionline.it/IAS_IFRS/IAS_7.htm" TargetMode="External"/><Relationship Id="rId26" Type="http://schemas.openxmlformats.org/officeDocument/2006/relationships/hyperlink" Target="http://www.revisorionline.it/IAS_IFRS/IAS_7.htm" TargetMode="External"/><Relationship Id="rId3" Type="http://schemas.openxmlformats.org/officeDocument/2006/relationships/settings" Target="settings.xml"/><Relationship Id="rId21" Type="http://schemas.openxmlformats.org/officeDocument/2006/relationships/hyperlink" Target="http://www.revisorionline.it/IAS_IFRS/IAS_7.htm" TargetMode="External"/><Relationship Id="rId7" Type="http://schemas.openxmlformats.org/officeDocument/2006/relationships/hyperlink" Target="http://www.revisorionline.it/IAS_IFRS/IAS_7.htm" TargetMode="External"/><Relationship Id="rId12" Type="http://schemas.openxmlformats.org/officeDocument/2006/relationships/hyperlink" Target="http://www.revisorionline.it/IAS_IFRS/IAS_7.htm" TargetMode="External"/><Relationship Id="rId17" Type="http://schemas.openxmlformats.org/officeDocument/2006/relationships/hyperlink" Target="http://www.revisorionline.it/IAS_IFRS/IAS_7.htm" TargetMode="External"/><Relationship Id="rId25" Type="http://schemas.openxmlformats.org/officeDocument/2006/relationships/hyperlink" Target="http://www.revisorionline.it/IAS_IFRS/IAS_7.htm" TargetMode="External"/><Relationship Id="rId2" Type="http://schemas.microsoft.com/office/2007/relationships/stylesWithEffects" Target="stylesWithEffects.xml"/><Relationship Id="rId16" Type="http://schemas.openxmlformats.org/officeDocument/2006/relationships/hyperlink" Target="http://www.revisorionline.it/IAS_IFRS/IAS_7.htm" TargetMode="External"/><Relationship Id="rId20" Type="http://schemas.openxmlformats.org/officeDocument/2006/relationships/hyperlink" Target="http://www.revisorionline.it/IAS_IFRS/IAS_7.htm" TargetMode="External"/><Relationship Id="rId29" Type="http://schemas.openxmlformats.org/officeDocument/2006/relationships/hyperlink" Target="http://www.revisorionline.it/IAS_IFRS/IAS%2014.htm" TargetMode="External"/><Relationship Id="rId1" Type="http://schemas.openxmlformats.org/officeDocument/2006/relationships/styles" Target="styles.xml"/><Relationship Id="rId6" Type="http://schemas.openxmlformats.org/officeDocument/2006/relationships/hyperlink" Target="http://www.revisorionline.it/IAS_IFRS/IAS_7.htm" TargetMode="External"/><Relationship Id="rId11" Type="http://schemas.openxmlformats.org/officeDocument/2006/relationships/hyperlink" Target="http://www.revisorionline.it/IAS_IFRS/IAS_7.htm" TargetMode="External"/><Relationship Id="rId24" Type="http://schemas.openxmlformats.org/officeDocument/2006/relationships/hyperlink" Target="http://www.revisorionline.it/IAS_IFRS/IAS_7.htm" TargetMode="External"/><Relationship Id="rId5" Type="http://schemas.openxmlformats.org/officeDocument/2006/relationships/hyperlink" Target="http://www.revisorionline.it/IAS_IFRS/IAS_7.htm" TargetMode="External"/><Relationship Id="rId15" Type="http://schemas.openxmlformats.org/officeDocument/2006/relationships/hyperlink" Target="http://www.revisorionline.it/IAS_IFRS/IAS_7.htm" TargetMode="External"/><Relationship Id="rId23" Type="http://schemas.openxmlformats.org/officeDocument/2006/relationships/hyperlink" Target="http://www.revisorionline.it/IAS_IFRS/IAS_7.htm" TargetMode="External"/><Relationship Id="rId28" Type="http://schemas.openxmlformats.org/officeDocument/2006/relationships/hyperlink" Target="http://www.revisorionline.it/IAS_IFRS/IAS%2031.htm" TargetMode="External"/><Relationship Id="rId10" Type="http://schemas.openxmlformats.org/officeDocument/2006/relationships/hyperlink" Target="http://www.revisorionline.it/IAS_IFRS/IAS_7.htm" TargetMode="External"/><Relationship Id="rId19" Type="http://schemas.openxmlformats.org/officeDocument/2006/relationships/hyperlink" Target="http://www.revisorionline.it/IAS_IFRS/IAS_7.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visorionline.it/IAS_IFRS/IAS_7.htm" TargetMode="External"/><Relationship Id="rId14" Type="http://schemas.openxmlformats.org/officeDocument/2006/relationships/hyperlink" Target="http://www.revisorionline.it/IAS_IFRS/IAS_7.htm" TargetMode="External"/><Relationship Id="rId22" Type="http://schemas.openxmlformats.org/officeDocument/2006/relationships/hyperlink" Target="http://www.revisorionline.it/IAS_IFRS/IAS_7.htm" TargetMode="External"/><Relationship Id="rId27" Type="http://schemas.openxmlformats.org/officeDocument/2006/relationships/hyperlink" Target="http://www.revisorionline.it/IAS_IFRS/IAS%2021.htm"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5763</Words>
  <Characters>32855</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Utente</cp:lastModifiedBy>
  <cp:revision>2</cp:revision>
  <dcterms:created xsi:type="dcterms:W3CDTF">2014-03-31T20:46:00Z</dcterms:created>
  <dcterms:modified xsi:type="dcterms:W3CDTF">2014-03-31T20:46:00Z</dcterms:modified>
</cp:coreProperties>
</file>